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3D913">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合肥市包河区BH202437号地块项目二标段人防门采购及安装项目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highlight w:val="none"/>
        </w:rPr>
      </w:pPr>
    </w:p>
    <w:p w14:paraId="3834354E">
      <w:pPr>
        <w:pStyle w:val="2"/>
        <w:rPr>
          <w:color w:val="auto"/>
        </w:rPr>
      </w:pPr>
    </w:p>
    <w:p w14:paraId="0D3160AD">
      <w:pPr>
        <w:pStyle w:val="2"/>
        <w:rPr>
          <w:rFonts w:ascii="Times New Roman" w:hAnsi="Times New Roman" w:cs="Times New Roman"/>
          <w:color w:val="auto"/>
          <w:szCs w:val="21"/>
          <w:highlight w:val="none"/>
        </w:rPr>
      </w:pPr>
    </w:p>
    <w:p w14:paraId="6B3871F8">
      <w:pPr>
        <w:rPr>
          <w:color w:val="auto"/>
          <w:highlight w:val="none"/>
        </w:rPr>
      </w:pPr>
    </w:p>
    <w:p w14:paraId="0E386565">
      <w:pPr>
        <w:pStyle w:val="2"/>
        <w:rPr>
          <w:color w:val="auto"/>
          <w:highlight w:val="none"/>
        </w:rPr>
      </w:pPr>
    </w:p>
    <w:p w14:paraId="4FDC8D90">
      <w:pPr>
        <w:pStyle w:val="3"/>
        <w:rPr>
          <w:color w:val="auto"/>
        </w:rPr>
      </w:pPr>
    </w:p>
    <w:p w14:paraId="28B17120">
      <w:pPr>
        <w:pStyle w:val="2"/>
        <w:rPr>
          <w:rFonts w:ascii="Times New Roman" w:hAnsi="Times New Roman" w:cs="Times New Roman"/>
          <w:color w:val="auto"/>
          <w:szCs w:val="21"/>
          <w:highlight w:val="none"/>
        </w:rPr>
      </w:pPr>
    </w:p>
    <w:p w14:paraId="33EC8FBC">
      <w:pPr>
        <w:pStyle w:val="3"/>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35849173">
      <w:pPr>
        <w:spacing w:line="540" w:lineRule="exact"/>
        <w:ind w:firstLine="420"/>
        <w:rPr>
          <w:rFonts w:ascii="Times New Roman" w:hAnsi="Times New Roman" w:cs="Times New Roman"/>
          <w:color w:val="auto"/>
          <w:szCs w:val="21"/>
          <w:highlight w:val="none"/>
        </w:rPr>
      </w:pPr>
    </w:p>
    <w:p w14:paraId="424D0981">
      <w:pPr>
        <w:spacing w:line="540" w:lineRule="exact"/>
        <w:ind w:firstLine="420"/>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 xml:space="preserve"> 2025 </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8</w:t>
      </w:r>
      <w:r>
        <w:rPr>
          <w:rFonts w:hint="eastAsia" w:ascii="黑体" w:hAnsi="黑体" w:eastAsia="黑体" w:cs="黑体"/>
          <w:color w:val="auto"/>
          <w:sz w:val="32"/>
          <w:szCs w:val="32"/>
          <w:highlight w:val="none"/>
        </w:rPr>
        <w:t>月</w:t>
      </w: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27B31A9D">
          <w:pPr>
            <w:pStyle w:val="15"/>
            <w:tabs>
              <w:tab w:val="right" w:leader="dot" w:pos="83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_Toc5171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highlight w:val="none"/>
            </w:rPr>
            <w:t>采购公告</w:t>
          </w:r>
          <w:r>
            <w:tab/>
          </w:r>
          <w:r>
            <w:fldChar w:fldCharType="begin"/>
          </w:r>
          <w:r>
            <w:instrText xml:space="preserve"> PAGEREF _Toc5171 \h </w:instrText>
          </w:r>
          <w:r>
            <w:fldChar w:fldCharType="separate"/>
          </w:r>
          <w:r>
            <w:t>3</w:t>
          </w:r>
          <w:r>
            <w:fldChar w:fldCharType="end"/>
          </w:r>
          <w:r>
            <w:rPr>
              <w:rFonts w:hint="eastAsia" w:ascii="宋体" w:hAnsi="宋体" w:eastAsia="宋体" w:cs="宋体"/>
              <w:color w:val="auto"/>
              <w:szCs w:val="24"/>
              <w:highlight w:val="none"/>
            </w:rPr>
            <w:fldChar w:fldCharType="end"/>
          </w:r>
        </w:p>
        <w:p w14:paraId="0340B34A">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_Toc6894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供应商须知</w:t>
          </w:r>
          <w:r>
            <w:tab/>
          </w:r>
          <w:r>
            <w:fldChar w:fldCharType="begin"/>
          </w:r>
          <w:r>
            <w:instrText xml:space="preserve"> PAGEREF _Toc6894 \h </w:instrText>
          </w:r>
          <w:r>
            <w:fldChar w:fldCharType="separate"/>
          </w:r>
          <w:r>
            <w:t>6</w:t>
          </w:r>
          <w:r>
            <w:fldChar w:fldCharType="end"/>
          </w:r>
          <w:r>
            <w:rPr>
              <w:rFonts w:hint="eastAsia" w:ascii="宋体" w:hAnsi="宋体" w:eastAsia="宋体" w:cs="宋体"/>
              <w:color w:val="auto"/>
              <w:szCs w:val="24"/>
              <w:highlight w:val="none"/>
            </w:rPr>
            <w:fldChar w:fldCharType="end"/>
          </w:r>
        </w:p>
        <w:p w14:paraId="1E034AB8">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_Toc9031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_Toc9031 \h </w:instrText>
          </w:r>
          <w:r>
            <w:fldChar w:fldCharType="separate"/>
          </w:r>
          <w:r>
            <w:t>17</w:t>
          </w:r>
          <w:r>
            <w:fldChar w:fldCharType="end"/>
          </w:r>
          <w:r>
            <w:rPr>
              <w:rFonts w:hint="eastAsia" w:ascii="宋体" w:hAnsi="宋体" w:eastAsia="宋体" w:cs="宋体"/>
              <w:color w:val="auto"/>
              <w:szCs w:val="24"/>
              <w:highlight w:val="none"/>
            </w:rPr>
            <w:fldChar w:fldCharType="end"/>
          </w:r>
        </w:p>
        <w:p w14:paraId="54023652">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_Toc12363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_Toc12363 \h </w:instrText>
          </w:r>
          <w:r>
            <w:fldChar w:fldCharType="separate"/>
          </w:r>
          <w:r>
            <w:t>25</w:t>
          </w:r>
          <w:r>
            <w:fldChar w:fldCharType="end"/>
          </w:r>
          <w:r>
            <w:rPr>
              <w:rFonts w:hint="eastAsia" w:ascii="宋体" w:hAnsi="宋体" w:eastAsia="宋体" w:cs="宋体"/>
              <w:color w:val="auto"/>
              <w:szCs w:val="24"/>
              <w:highlight w:val="none"/>
            </w:rPr>
            <w:fldChar w:fldCharType="end"/>
          </w:r>
        </w:p>
        <w:p w14:paraId="0B6CA645">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_Toc25604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第五章 采购需求及清单</w:t>
          </w:r>
          <w:r>
            <w:tab/>
          </w:r>
          <w:r>
            <w:fldChar w:fldCharType="begin"/>
          </w:r>
          <w:r>
            <w:instrText xml:space="preserve"> PAGEREF _Toc25604 \h </w:instrText>
          </w:r>
          <w:r>
            <w:fldChar w:fldCharType="separate"/>
          </w:r>
          <w:r>
            <w:t>43</w:t>
          </w:r>
          <w:r>
            <w:fldChar w:fldCharType="end"/>
          </w:r>
          <w:r>
            <w:rPr>
              <w:rFonts w:hint="eastAsia" w:ascii="宋体" w:hAnsi="宋体" w:eastAsia="宋体" w:cs="宋体"/>
              <w:color w:val="auto"/>
              <w:szCs w:val="24"/>
              <w:highlight w:val="none"/>
            </w:rPr>
            <w:fldChar w:fldCharType="end"/>
          </w:r>
        </w:p>
        <w:p w14:paraId="76DA7177">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_Toc4540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tab/>
          </w:r>
          <w:r>
            <w:fldChar w:fldCharType="begin"/>
          </w:r>
          <w:r>
            <w:instrText xml:space="preserve"> PAGEREF _Toc4540 \h </w:instrText>
          </w:r>
          <w:r>
            <w:fldChar w:fldCharType="separate"/>
          </w:r>
          <w:r>
            <w:t>44</w:t>
          </w:r>
          <w:r>
            <w:fldChar w:fldCharType="end"/>
          </w:r>
          <w:r>
            <w:rPr>
              <w:rFonts w:hint="eastAsia" w:ascii="宋体" w:hAnsi="宋体" w:eastAsia="宋体" w:cs="宋体"/>
              <w:color w:val="auto"/>
              <w:szCs w:val="24"/>
              <w:highlight w:val="none"/>
            </w:rPr>
            <w:fldChar w:fldCharType="end"/>
          </w:r>
        </w:p>
        <w:p w14:paraId="394B2295">
          <w:pPr>
            <w:pStyle w:val="15"/>
            <w:tabs>
              <w:tab w:val="right" w:leader="dot" w:pos="8312"/>
            </w:tabs>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5"/>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5"/>
        <w:spacing w:before="312" w:after="312"/>
        <w:rPr>
          <w:rFonts w:ascii="Times New Roman" w:hAnsi="Times New Roman" w:eastAsia="宋体" w:cs="Times New Roman"/>
          <w:color w:val="auto"/>
          <w:highlight w:val="none"/>
        </w:rPr>
      </w:pPr>
      <w:bookmarkStart w:id="0" w:name="_Toc5171"/>
      <w:r>
        <w:rPr>
          <w:rFonts w:ascii="Times New Roman" w:hAnsi="Times New Roman" w:eastAsia="宋体" w:cs="Times New Roman"/>
          <w:color w:val="auto"/>
          <w:highlight w:val="none"/>
        </w:rPr>
        <w:t>采购公告</w:t>
      </w:r>
      <w:bookmarkEnd w:id="0"/>
    </w:p>
    <w:p w14:paraId="0408454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10395_WPSOffice_Level2"/>
      <w:bookmarkStart w:id="2" w:name="_Toc12765"/>
      <w:bookmarkStart w:id="3" w:name="_Toc24354_WPSOffice_Level2"/>
      <w:bookmarkStart w:id="4" w:name="_Toc13871"/>
      <w:bookmarkStart w:id="5" w:name="_Toc4489_WPSOffice_Level2"/>
      <w:bookmarkStart w:id="6" w:name="_Toc6496_WPSOffice_Level2"/>
      <w:bookmarkStart w:id="7" w:name="_Toc525632585"/>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合肥市包河区BH202437号地块项目二标段人防门采购及安装项目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Times New Roman" w:hAnsi="Times New Roman" w:eastAsia="宋体" w:cs="Times New Roman"/>
          <w:color w:val="auto"/>
          <w:szCs w:val="21"/>
          <w:highlight w:val="none"/>
          <w:u w:val="single"/>
          <w:lang w:val="en-US" w:eastAsia="zh-CN"/>
        </w:rPr>
        <w:t>本项目总占地面积294.87亩，容积率≤ 1.5，建设一个客房数不少于 500 套的酒店，本次建设的为</w:t>
      </w:r>
      <w:r>
        <w:rPr>
          <w:rFonts w:hint="default" w:ascii="Times New Roman" w:hAnsi="Times New Roman" w:eastAsia="宋体" w:cs="Times New Roman"/>
          <w:color w:val="auto"/>
          <w:szCs w:val="21"/>
          <w:highlight w:val="none"/>
          <w:u w:val="single"/>
          <w:lang w:val="en-US" w:eastAsia="zh-CN"/>
        </w:rPr>
        <w:t>地块内</w:t>
      </w:r>
      <w:r>
        <w:rPr>
          <w:rFonts w:hint="eastAsia" w:ascii="Times New Roman" w:hAnsi="Times New Roman" w:eastAsia="宋体" w:cs="Times New Roman"/>
          <w:color w:val="auto"/>
          <w:szCs w:val="21"/>
          <w:highlight w:val="none"/>
          <w:u w:val="single"/>
          <w:lang w:val="en-US" w:eastAsia="zh-CN"/>
        </w:rPr>
        <w:t>1#楼、2#楼、门卫房</w:t>
      </w:r>
      <w:r>
        <w:rPr>
          <w:rFonts w:hint="default" w:ascii="Times New Roman" w:hAnsi="Times New Roman" w:eastAsia="宋体" w:cs="Times New Roman"/>
          <w:color w:val="auto"/>
          <w:kern w:val="0"/>
          <w:sz w:val="21"/>
          <w:szCs w:val="21"/>
          <w:highlight w:val="none"/>
          <w:u w:val="none"/>
          <w:lang w:eastAsia="zh-CN"/>
        </w:rPr>
        <w:t>。</w:t>
      </w:r>
    </w:p>
    <w:p w14:paraId="4C504C2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525632586"/>
      <w:bookmarkStart w:id="9" w:name="_Toc8128_WPSOffice_Level2"/>
      <w:bookmarkStart w:id="10" w:name="_Toc23266_WPSOffice_Level2"/>
      <w:bookmarkStart w:id="11" w:name="_Toc18453"/>
      <w:bookmarkStart w:id="12" w:name="_Toc18367_WPSOffice_Level2"/>
      <w:bookmarkStart w:id="13" w:name="_Toc17858_WPSOffice_Level2"/>
      <w:bookmarkStart w:id="14" w:name="_Toc10274"/>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宋体" w:hAnsi="宋体" w:eastAsia="宋体" w:cs="宋体"/>
          <w:color w:val="auto"/>
          <w:szCs w:val="21"/>
          <w:highlight w:val="none"/>
          <w:u w:val="single"/>
          <w:lang w:val="en-US" w:eastAsia="zh-CN"/>
        </w:rPr>
        <w:t xml:space="preserve">产品品牌及参数详见材料品牌推荐表及采购清单。 </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人民币143万元</w:t>
      </w:r>
      <w:r>
        <w:rPr>
          <w:rFonts w:hint="eastAsia" w:ascii="宋体" w:hAnsi="宋体" w:eastAsia="宋体" w:cs="宋体"/>
          <w:b w:val="0"/>
          <w:bCs w:val="0"/>
          <w:color w:val="auto"/>
          <w:szCs w:val="21"/>
          <w:highlight w:val="none"/>
          <w:u w:val="single"/>
          <w:lang w:val="en-US" w:eastAsia="zh-CN"/>
        </w:rPr>
        <w:t>。</w:t>
      </w:r>
    </w:p>
    <w:p w14:paraId="6160834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eastAsia" w:ascii="宋体" w:hAnsi="宋体" w:eastAsia="宋体" w:cs="宋体"/>
          <w:color w:val="auto"/>
          <w:sz w:val="21"/>
          <w:szCs w:val="21"/>
          <w:highlight w:val="none"/>
          <w:u w:val="single"/>
          <w:lang w:val="en-US" w:eastAsia="zh-CN"/>
        </w:rPr>
        <w:t>在</w:t>
      </w:r>
      <w:r>
        <w:rPr>
          <w:rFonts w:hint="eastAsia" w:ascii="宋体" w:hAnsi="宋体" w:eastAsia="宋体" w:cs="宋体"/>
          <w:color w:val="auto"/>
          <w:kern w:val="0"/>
          <w:sz w:val="21"/>
          <w:szCs w:val="21"/>
          <w:highlight w:val="none"/>
          <w:u w:val="single"/>
        </w:rPr>
        <w:t>接到甲方通知之日起</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7</w:t>
      </w:r>
      <w:r>
        <w:rPr>
          <w:rFonts w:hint="eastAsia" w:ascii="宋体" w:hAnsi="宋体" w:eastAsia="宋体" w:cs="宋体"/>
          <w:color w:val="auto"/>
          <w:kern w:val="0"/>
          <w:sz w:val="21"/>
          <w:szCs w:val="21"/>
          <w:highlight w:val="none"/>
          <w:u w:val="single"/>
        </w:rPr>
        <w:t>天内</w:t>
      </w:r>
      <w:r>
        <w:rPr>
          <w:rFonts w:hint="eastAsia" w:ascii="宋体" w:hAnsi="宋体" w:eastAsia="宋体" w:cs="宋体"/>
          <w:color w:val="auto"/>
          <w:kern w:val="0"/>
          <w:sz w:val="21"/>
          <w:szCs w:val="21"/>
          <w:highlight w:val="none"/>
          <w:u w:val="single"/>
          <w:lang w:val="en-US" w:eastAsia="zh-CN"/>
        </w:rPr>
        <w:t>门框交货进场、45天内门扇交货到场</w:t>
      </w:r>
      <w:r>
        <w:rPr>
          <w:rFonts w:hint="eastAsia" w:ascii="宋体" w:hAnsi="宋体" w:eastAsia="宋体" w:cs="宋体"/>
          <w:color w:val="auto"/>
          <w:kern w:val="0"/>
          <w:sz w:val="21"/>
          <w:szCs w:val="21"/>
          <w:highlight w:val="none"/>
          <w:u w:val="none"/>
          <w:lang w:eastAsia="zh-CN"/>
        </w:rPr>
        <w:t>。</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Cs w:val="21"/>
          <w:highlight w:val="none"/>
          <w:u w:val="single"/>
          <w:lang w:val="en-US" w:eastAsia="zh-CN"/>
        </w:rPr>
        <w:t>安徽省合肥市包河区黄河路以北、庐州大道两侧，</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22830808">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383C936C">
      <w:pPr>
        <w:numPr>
          <w:ilvl w:val="0"/>
          <w:numId w:val="0"/>
        </w:num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①具备独立法人资格，持有有效的营业执照。</w:t>
      </w:r>
    </w:p>
    <w:p w14:paraId="7AA67656">
      <w:pPr>
        <w:numPr>
          <w:ilvl w:val="0"/>
          <w:numId w:val="0"/>
        </w:numPr>
        <w:snapToGrid w:val="0"/>
        <w:spacing w:beforeLines="0" w:afterLines="0" w:line="400" w:lineRule="exact"/>
        <w:ind w:firstLine="420" w:firstLineChars="200"/>
        <w:rPr>
          <w:rFonts w:hint="eastAsia" w:ascii="宋体" w:hAnsi="宋体" w:cs="宋体"/>
          <w:color w:val="auto"/>
          <w:sz w:val="21"/>
          <w:szCs w:val="22"/>
          <w:highlight w:val="cyan"/>
        </w:rPr>
      </w:pPr>
      <w:r>
        <w:rPr>
          <w:rFonts w:hint="eastAsia" w:ascii="宋体" w:hAnsi="宋体" w:cs="宋体"/>
          <w:color w:val="auto"/>
          <w:sz w:val="21"/>
          <w:szCs w:val="22"/>
          <w:highlight w:val="cyan"/>
        </w:rPr>
        <w:t>②具有</w:t>
      </w:r>
      <w:r>
        <w:rPr>
          <w:rFonts w:hint="eastAsia" w:ascii="宋体" w:hAnsi="宋体" w:cs="宋体"/>
          <w:color w:val="auto"/>
          <w:sz w:val="21"/>
          <w:szCs w:val="22"/>
          <w:highlight w:val="cyan"/>
          <w:lang w:val="en-US" w:eastAsia="zh-CN"/>
        </w:rPr>
        <w:t>人民防空工程防护设备定点生产企业资格认定证书</w:t>
      </w:r>
      <w:r>
        <w:rPr>
          <w:rFonts w:hint="eastAsia" w:ascii="宋体" w:hAnsi="宋体" w:cs="宋体"/>
          <w:color w:val="auto"/>
          <w:sz w:val="21"/>
          <w:szCs w:val="22"/>
          <w:highlight w:val="cyan"/>
        </w:rPr>
        <w:t>。</w:t>
      </w:r>
    </w:p>
    <w:p w14:paraId="4A3E231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lang w:val="en-US" w:eastAsia="zh-CN"/>
        </w:rPr>
        <w:t>③</w:t>
      </w:r>
      <w:r>
        <w:rPr>
          <w:rFonts w:hint="eastAsia" w:ascii="宋体" w:hAnsi="宋体" w:cs="宋体"/>
          <w:color w:val="auto"/>
          <w:sz w:val="21"/>
          <w:szCs w:val="22"/>
          <w:highlight w:val="none"/>
        </w:rPr>
        <w:t>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4CFF6869">
      <w:pPr>
        <w:pStyle w:val="2"/>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至少提供1个自202</w:t>
      </w:r>
      <w:r>
        <w:rPr>
          <w:rFonts w:hint="eastAsia" w:ascii="Times New Roman" w:hAnsi="Times New Roman" w:cs="Times New Roman"/>
          <w:b w:val="0"/>
          <w:bCs w:val="0"/>
          <w:color w:val="auto"/>
          <w:highlight w:val="none"/>
          <w:u w:val="single"/>
          <w:lang w:val="en-US" w:eastAsia="zh-CN"/>
        </w:rPr>
        <w:t>2</w:t>
      </w:r>
      <w:r>
        <w:rPr>
          <w:rFonts w:hint="default" w:ascii="Times New Roman" w:hAnsi="Times New Roman" w:cs="Times New Roman" w:eastAsiaTheme="minorEastAsia"/>
          <w:b w:val="0"/>
          <w:bCs w:val="0"/>
          <w:color w:val="auto"/>
          <w:highlight w:val="none"/>
          <w:u w:val="single"/>
          <w:lang w:val="en-US" w:eastAsia="zh-CN"/>
        </w:rPr>
        <w:t>年1月1日以来，单项合同额不低于</w:t>
      </w:r>
      <w:r>
        <w:rPr>
          <w:rFonts w:hint="eastAsia" w:ascii="Times New Roman" w:hAnsi="Times New Roman" w:cs="Times New Roman"/>
          <w:b w:val="0"/>
          <w:bCs w:val="0"/>
          <w:color w:val="auto"/>
          <w:highlight w:val="none"/>
          <w:u w:val="single"/>
          <w:lang w:val="en-US" w:eastAsia="zh-CN"/>
        </w:rPr>
        <w:t>100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人防门</w:t>
      </w:r>
      <w:r>
        <w:rPr>
          <w:rFonts w:hint="default" w:ascii="Times New Roman" w:hAnsi="Times New Roman" w:cs="Times New Roman" w:eastAsiaTheme="minorEastAsia"/>
          <w:b w:val="0"/>
          <w:bCs w:val="0"/>
          <w:color w:val="auto"/>
          <w:highlight w:val="none"/>
          <w:u w:val="single"/>
          <w:lang w:val="en-US" w:eastAsia="zh-CN"/>
        </w:rPr>
        <w:t>供应</w:t>
      </w:r>
      <w:r>
        <w:rPr>
          <w:rFonts w:hint="eastAsia" w:ascii="Times New Roman" w:hAnsi="Times New Roman" w:cs="Times New Roman"/>
          <w:b w:val="0"/>
          <w:bCs w:val="0"/>
          <w:color w:val="auto"/>
          <w:highlight w:val="none"/>
          <w:u w:val="single"/>
          <w:lang w:val="en-US" w:eastAsia="zh-CN"/>
        </w:rPr>
        <w:t>及安装</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③在国家企业信用信息公示系统（http://www.gsxt.gov.cn）中未被列入严重违法失信企业名单；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④在“信用中国”网站（http://www.creditchina.gov.cn）中未被列入失信被执行人名单；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25666_WPSOffice_Level2"/>
      <w:bookmarkStart w:id="19" w:name="_Toc4109_WPSOffice_Level2"/>
      <w:bookmarkStart w:id="20" w:name="_Toc525632588"/>
      <w:bookmarkStart w:id="21" w:name="_Toc4751"/>
      <w:bookmarkStart w:id="22" w:name="_Toc2996_WPSOffice_Level2"/>
      <w:bookmarkStart w:id="23" w:name="_Toc1994"/>
      <w:bookmarkStart w:id="24" w:name="_Toc29452_WPSOffice_Level2"/>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56E2CBF5">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726"/>
      <w:bookmarkStart w:id="26" w:name="_Toc525632589"/>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http://www.ahjggroup.com）“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22719"/>
      <w:bookmarkStart w:id="28" w:name="_Toc525632591"/>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 xml:space="preserve"> 2025 </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8</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7</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46250A59">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3000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叁仟元整</w:t>
      </w:r>
      <w:r>
        <w:rPr>
          <w:rFonts w:hint="eastAsia" w:ascii="Times New Roman" w:hAnsi="Times New Roman" w:eastAsia="宋体" w:cs="Times New Roman"/>
          <w:b/>
          <w:bCs/>
          <w:color w:val="auto"/>
          <w:kern w:val="2"/>
          <w:sz w:val="21"/>
          <w:szCs w:val="21"/>
          <w:highlight w:val="none"/>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737C81B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36ABDA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付款备注：37地块二标段人防门响应保证金</w:t>
      </w:r>
    </w:p>
    <w:p w14:paraId="0687E1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highlight w:val="none"/>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中标公示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合同签订前，乙方需向甲方支付合同总价2%的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或提供合同总价5%的银行保函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highlight w:val="none"/>
        </w:rPr>
        <w:t xml:space="preserve">  </w:t>
      </w:r>
    </w:p>
    <w:p w14:paraId="110D2E1A">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28571_WPSOffice_Level2"/>
      <w:bookmarkStart w:id="30" w:name="_Toc525632592"/>
      <w:bookmarkStart w:id="31" w:name="_Toc8501"/>
      <w:bookmarkStart w:id="32" w:name="_Toc14943_WPSOffice_Level2"/>
      <w:bookmarkStart w:id="33" w:name="_Toc20572_WPSOffice_Level2"/>
      <w:bookmarkStart w:id="34" w:name="_Toc26829"/>
      <w:bookmarkStart w:id="35" w:name="_Toc321_WPSOffice_Level2"/>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”（网址：http://www.ahjggroup.com）“招标公告”栏目中发布。</w:t>
      </w:r>
    </w:p>
    <w:p w14:paraId="1B57102E">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24EB2EA2">
      <w:pPr>
        <w:pStyle w:val="5"/>
        <w:spacing w:before="312" w:after="312"/>
        <w:rPr>
          <w:rFonts w:ascii="Times New Roman" w:hAnsi="Times New Roman" w:eastAsia="宋体" w:cs="Times New Roman"/>
          <w:color w:val="auto"/>
          <w:highlight w:val="none"/>
        </w:rPr>
      </w:pPr>
      <w:bookmarkStart w:id="36" w:name="_Toc6894"/>
      <w:r>
        <w:rPr>
          <w:rFonts w:ascii="Times New Roman" w:hAnsi="Times New Roman" w:eastAsia="宋体" w:cs="Times New Roman"/>
          <w:color w:val="auto"/>
          <w:highlight w:val="none"/>
        </w:rPr>
        <w:t>供应商须知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55466811"/>
      <w:bookmarkStart w:id="38" w:name="_Toc19501"/>
      <w:bookmarkStart w:id="39" w:name="_Toc16069"/>
      <w:bookmarkStart w:id="40" w:name="_Toc26656928"/>
      <w:bookmarkStart w:id="41" w:name="_Toc29381_WPSOffice_Level2"/>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6CE70694">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3868D2C7">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4D5599B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011BD65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招标代理机构</w:t>
            </w:r>
          </w:p>
        </w:tc>
        <w:tc>
          <w:tcPr>
            <w:tcW w:w="634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AF214F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7153838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1D70FD1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3C79A15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087D552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6A00657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68540773">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是否接受联合体投标</w:t>
            </w:r>
          </w:p>
        </w:tc>
        <w:tc>
          <w:tcPr>
            <w:tcW w:w="634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投标预备会</w:t>
            </w:r>
          </w:p>
        </w:tc>
        <w:tc>
          <w:tcPr>
            <w:tcW w:w="634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630799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3795D4F7">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297F53EC">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87DFEB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64B05401">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580C117B">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652E8F59">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cs="宋体"/>
                <w:color w:val="auto"/>
                <w:sz w:val="22"/>
                <w:szCs w:val="22"/>
                <w:highlight w:val="none"/>
                <w:lang w:eastAsia="zh-CN"/>
              </w:rPr>
              <w:t>安徽交控建设工程集团有限公司</w:t>
            </w:r>
            <w:r>
              <w:rPr>
                <w:rFonts w:hint="eastAsia" w:ascii="宋体" w:hAnsi="宋体" w:eastAsia="宋体" w:cs="宋体"/>
                <w:color w:val="auto"/>
                <w:sz w:val="22"/>
                <w:szCs w:val="22"/>
                <w:highlight w:val="none"/>
              </w:rPr>
              <w:t>”（网址：http://www.ahjggroup.com）“招标公告”栏目</w:t>
            </w:r>
            <w:r>
              <w:rPr>
                <w:rFonts w:hint="eastAsia" w:ascii="宋体" w:hAnsi="宋体" w:eastAsia="宋体" w:cs="宋体"/>
                <w:color w:val="auto"/>
                <w:sz w:val="22"/>
                <w:szCs w:val="22"/>
                <w:highlight w:val="none"/>
                <w:lang w:eastAsia="zh-CN"/>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4299B12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auto"/>
                <w:sz w:val="22"/>
                <w:szCs w:val="22"/>
                <w:highlight w:val="none"/>
                <w:lang w:eastAsia="zh-CN"/>
              </w:rPr>
              <w:t xml:space="preserve"> 安徽交控建设工程集团有限公司</w:t>
            </w:r>
            <w:r>
              <w:rPr>
                <w:rFonts w:hint="eastAsia" w:ascii="宋体" w:hAnsi="宋体" w:eastAsia="宋体" w:cs="宋体"/>
                <w:color w:val="auto"/>
                <w:sz w:val="22"/>
                <w:szCs w:val="22"/>
                <w:highlight w:val="none"/>
              </w:rPr>
              <w:t>”（网址：http://www.ahjggroup.com）“招标公告”栏目</w:t>
            </w:r>
            <w:r>
              <w:rPr>
                <w:rFonts w:hint="eastAsia" w:ascii="宋体" w:hAnsi="宋体" w:eastAsia="宋体" w:cs="宋体"/>
                <w:color w:val="auto"/>
                <w:sz w:val="22"/>
                <w:szCs w:val="22"/>
                <w:highlight w:val="none"/>
                <w:lang w:eastAsia="zh-CN"/>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23C9063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042C5927">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auto"/>
                <w:sz w:val="22"/>
                <w:szCs w:val="22"/>
                <w:highlight w:val="none"/>
                <w:lang w:eastAsia="zh-CN"/>
              </w:rPr>
              <w:t>安徽交控建设工程集团</w:t>
            </w:r>
            <w:r>
              <w:rPr>
                <w:rFonts w:hint="eastAsia" w:ascii="宋体" w:hAnsi="宋体" w:eastAsia="宋体" w:cs="宋体"/>
                <w:color w:val="auto"/>
                <w:sz w:val="22"/>
                <w:szCs w:val="22"/>
                <w:highlight w:val="none"/>
              </w:rPr>
              <w:t>（网址：http://www.ahjggroup.com）的网站，及时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14017135">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59DC1050">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0AF0B06A">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8587EFE">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61B7B61A">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袋内用U盘放报价文件扫描件一份(PDF版)和报价清单电子版一份(EXCEL版)；如启封发现上述资料未放齐的，视为形式评审不合格，取消资格。</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70FB95C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45217707">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1F243CDF">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7DDF358E">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投标报价为含税价，税率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582BBC5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限价人民币:详见采购公告。</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16378D1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0E02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ADE76F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44F8D6CA">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2E04A5F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FDE4F9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06E1A01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提交投标文件截止之日起计算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556433C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37FFB0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E2C1FF3">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0981002">
            <w:pPr>
              <w:pStyle w:val="9"/>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响应保证金的金额:详见采购公告。</w:t>
            </w:r>
          </w:p>
          <w:p w14:paraId="5989D34F">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保证金的到账截止时间：投标截止时间。</w:t>
            </w:r>
          </w:p>
          <w:p w14:paraId="1D8317AE">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77018E5A">
            <w:pPr>
              <w:pStyle w:val="9"/>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B991FB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在投标过程中存在弄虚作假、与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串通投标、以行贿谋取中标、无正当理由放弃中标以及进行恶意投诉等投标不良行为的</w:t>
            </w:r>
            <w:r>
              <w:rPr>
                <w:rFonts w:hint="eastAsia"/>
                <w:color w:val="auto"/>
                <w:sz w:val="22"/>
                <w:szCs w:val="22"/>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2285925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69AAC43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B6DBF72">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18F241E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70A5CD33">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34FB9A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15C9ADEC">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ascii="宋体" w:hAnsi="宋体" w:cs="宋体"/>
                <w:color w:val="auto"/>
                <w:sz w:val="22"/>
                <w:szCs w:val="22"/>
                <w:highlight w:val="none"/>
                <w:u w:val="single"/>
              </w:rPr>
              <w:t>20</w:t>
            </w:r>
            <w:r>
              <w:rPr>
                <w:rFonts w:hint="eastAsia" w:ascii="宋体" w:hAnsi="宋体" w:cs="宋体"/>
                <w:color w:val="auto"/>
                <w:sz w:val="22"/>
                <w:szCs w:val="22"/>
                <w:highlight w:val="none"/>
                <w:u w:val="single"/>
                <w:lang w:val="en-US" w:eastAsia="zh-CN"/>
              </w:rPr>
              <w:t>2</w:t>
            </w:r>
            <w:r>
              <w:rPr>
                <w:rFonts w:hint="eastAsia" w:cs="宋体"/>
                <w:color w:val="auto"/>
                <w:sz w:val="22"/>
                <w:szCs w:val="22"/>
                <w:highlight w:val="none"/>
                <w:u w:val="single"/>
                <w:lang w:val="en-US" w:eastAsia="zh-CN"/>
              </w:rPr>
              <w:t>2</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1</w:t>
            </w:r>
            <w:r>
              <w:rPr>
                <w:rFonts w:hint="eastAsia" w:ascii="宋体" w:hAnsi="宋体" w:cs="宋体"/>
                <w:color w:val="auto"/>
                <w:sz w:val="22"/>
                <w:szCs w:val="22"/>
                <w:highlight w:val="none"/>
              </w:rPr>
              <w:t>日</w:t>
            </w:r>
            <w:r>
              <w:rPr>
                <w:rFonts w:hint="default"/>
                <w:color w:val="auto"/>
                <w:sz w:val="22"/>
                <w:szCs w:val="22"/>
                <w:highlight w:val="none"/>
              </w:rPr>
              <w:t>至投标截止时间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72F44E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668A9EEB">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E11346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2FA2D79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是否允许递交备选投标方案</w:t>
            </w:r>
          </w:p>
        </w:tc>
        <w:tc>
          <w:tcPr>
            <w:tcW w:w="634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78386F3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17E07EF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A0AFD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开标程序</w:t>
            </w:r>
          </w:p>
        </w:tc>
        <w:tc>
          <w:tcPr>
            <w:tcW w:w="634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密封情况检查：宣布开标后，供应商代表互检响应文件密封及递交情况，并就检查结果明确意见。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30519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8B73A2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740AC6D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开标时间和地点</w:t>
            </w:r>
          </w:p>
        </w:tc>
        <w:tc>
          <w:tcPr>
            <w:tcW w:w="6347" w:type="dxa"/>
            <w:vAlign w:val="center"/>
          </w:tcPr>
          <w:p w14:paraId="0AD4B8D1">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2987E06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评标专家确定方式：符合规定的评标专家库中随机抽取。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DFF884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评标办法</w:t>
            </w:r>
            <w:r>
              <w:rPr>
                <w:rFonts w:hint="default"/>
                <w:color w:val="auto"/>
                <w:sz w:val="22"/>
                <w:szCs w:val="22"/>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78BD190">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61C35264">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公示媒介：“安徽交控建设工程集团有限公司”（网址：http://www.ahjggroup.com）“招标公告”栏目</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2D0FE58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是否授权评审小组确定中标人</w:t>
            </w:r>
          </w:p>
        </w:tc>
        <w:tc>
          <w:tcPr>
            <w:tcW w:w="634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07613BF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78E7B841">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中标公示后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合同签订前，乙方需向甲方支付合同总价2%的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或提供合同总价5%的银行保函</w:t>
            </w:r>
            <w:r>
              <w:rPr>
                <w:rFonts w:hint="eastAsia" w:ascii="宋体" w:hAnsi="宋体" w:eastAsia="宋体" w:cs="宋体"/>
                <w:color w:val="auto"/>
                <w:szCs w:val="21"/>
                <w:highlight w:val="none"/>
              </w:rPr>
              <w:t>。</w:t>
            </w:r>
          </w:p>
          <w:p w14:paraId="40DED63E">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color w:val="auto"/>
                <w:szCs w:val="21"/>
                <w:highlight w:val="none"/>
              </w:rPr>
              <w:t>（2）履约保证金退还时间：该项目物资供应整体验收完成后28天内。</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4E8F2C9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是否采用电子招标投标</w:t>
            </w:r>
          </w:p>
        </w:tc>
        <w:tc>
          <w:tcPr>
            <w:tcW w:w="634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04AA9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EA7F5DA">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49A4D26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E956487">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0379A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C3EDC7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143D218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1B07BA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3D6774D">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1"/>
                <w:highlight w:val="none"/>
                <w:lang w:val="en-US" w:eastAsia="zh-CN"/>
              </w:rPr>
              <w:t>50</w:t>
            </w:r>
          </w:p>
        </w:tc>
        <w:tc>
          <w:tcPr>
            <w:tcW w:w="8540" w:type="dxa"/>
            <w:gridSpan w:val="2"/>
            <w:vAlign w:val="center"/>
          </w:tcPr>
          <w:p w14:paraId="12EE7275">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或其他利害关系人对评标结果有异议的，应以书面形式提出</w:t>
            </w:r>
            <w:r>
              <w:rPr>
                <w:rFonts w:hint="eastAsia"/>
                <w:color w:val="auto"/>
                <w:spacing w:val="-3"/>
                <w:kern w:val="0"/>
                <w:sz w:val="22"/>
                <w:szCs w:val="22"/>
                <w:highlight w:val="none"/>
              </w:rPr>
              <w:t>，异议材料应包括：</w:t>
            </w:r>
          </w:p>
          <w:p w14:paraId="4EEF7789">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15AFE683">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4F2DEEC3">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147F6BE4">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5CA226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DFCAF24">
            <w:pPr>
              <w:keepNext w:val="0"/>
              <w:keepLines w:val="0"/>
              <w:suppressLineNumbers w:val="0"/>
              <w:spacing w:before="0" w:beforeAutospacing="0" w:after="0" w:afterAutospacing="0" w:line="360" w:lineRule="auto"/>
              <w:ind w:left="0" w:leftChars="0" w:right="0" w:rightChars="0"/>
              <w:jc w:val="center"/>
              <w:rPr>
                <w:rFonts w:hint="default"/>
                <w:color w:val="auto"/>
                <w:sz w:val="22"/>
                <w:szCs w:val="21"/>
                <w:highlight w:val="none"/>
                <w:lang w:val="en-US" w:eastAsia="zh-CN"/>
              </w:rPr>
            </w:pPr>
            <w:bookmarkStart w:id="42" w:name="_Toc14201207"/>
            <w:bookmarkStart w:id="43" w:name="_Toc26656938"/>
            <w:bookmarkStart w:id="44" w:name="_Toc9067720"/>
            <w:r>
              <w:rPr>
                <w:rFonts w:hint="eastAsia"/>
                <w:color w:val="auto"/>
                <w:sz w:val="22"/>
                <w:szCs w:val="21"/>
                <w:highlight w:val="none"/>
                <w:lang w:val="en-US" w:eastAsia="zh-CN"/>
              </w:rPr>
              <w:t>51</w:t>
            </w:r>
          </w:p>
        </w:tc>
        <w:tc>
          <w:tcPr>
            <w:tcW w:w="8540" w:type="dxa"/>
            <w:gridSpan w:val="2"/>
            <w:vAlign w:val="center"/>
          </w:tcPr>
          <w:p w14:paraId="2CE83556">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color w:val="auto"/>
                <w:spacing w:val="-3"/>
                <w:kern w:val="0"/>
                <w:sz w:val="22"/>
                <w:szCs w:val="22"/>
                <w:highlight w:val="none"/>
              </w:rPr>
            </w:pPr>
            <w:r>
              <w:rPr>
                <w:rFonts w:hint="eastAsia"/>
                <w:color w:val="auto"/>
                <w:spacing w:val="-3"/>
                <w:kern w:val="0"/>
                <w:sz w:val="22"/>
                <w:szCs w:val="22"/>
                <w:highlight w:val="yellow"/>
                <w:lang w:val="en-US" w:eastAsia="zh-CN"/>
              </w:rPr>
              <w:t>人防门</w:t>
            </w:r>
            <w:r>
              <w:rPr>
                <w:rFonts w:hint="default"/>
                <w:color w:val="auto"/>
                <w:spacing w:val="-3"/>
                <w:kern w:val="0"/>
                <w:sz w:val="22"/>
                <w:szCs w:val="22"/>
                <w:highlight w:val="yellow"/>
              </w:rPr>
              <w:t>进场</w:t>
            </w:r>
            <w:r>
              <w:rPr>
                <w:rFonts w:hint="eastAsia"/>
                <w:color w:val="auto"/>
                <w:spacing w:val="-3"/>
                <w:kern w:val="0"/>
                <w:sz w:val="22"/>
                <w:szCs w:val="22"/>
                <w:highlight w:val="yellow"/>
                <w:lang w:val="en-US" w:eastAsia="zh-CN"/>
              </w:rPr>
              <w:t>前供应单位需与采购人、项目部签订三方协议，并明确各方管理责任。</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7798F1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1"/>
                <w:highlight w:val="none"/>
                <w:lang w:val="en-US" w:eastAsia="zh-CN"/>
              </w:rPr>
              <w:t>52</w:t>
            </w:r>
          </w:p>
        </w:tc>
        <w:tc>
          <w:tcPr>
            <w:tcW w:w="8540" w:type="dxa"/>
            <w:gridSpan w:val="2"/>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1.本项目后期有可能涉及部分产品的优化及深化设计，投标单位在投标报价时应充分考虑此部分的费用，根据自身因素、综合条件、市场风险自行报价，中标后不予调整。</w:t>
            </w:r>
          </w:p>
          <w:p w14:paraId="2DE20602">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cs="宋体" w:eastAsiaTheme="minorEastAsia"/>
                <w:bCs/>
                <w:color w:val="auto"/>
                <w:kern w:val="0"/>
                <w:sz w:val="22"/>
                <w:szCs w:val="22"/>
                <w:highlight w:val="none"/>
                <w:lang w:val="en-US" w:eastAsia="zh-CN" w:bidi="ar"/>
              </w:rPr>
            </w:pPr>
            <w:r>
              <w:rPr>
                <w:rFonts w:hint="eastAsia" w:ascii="宋体" w:hAnsi="宋体" w:eastAsia="宋体" w:cs="宋体"/>
                <w:color w:val="auto"/>
                <w:sz w:val="22"/>
                <w:szCs w:val="22"/>
                <w:highlight w:val="yellow"/>
                <w:lang w:val="en-US" w:eastAsia="zh-CN"/>
              </w:rPr>
              <w:t>2.材料常规检测费用含在报价中，采购人不另外单独支付。</w:t>
            </w:r>
          </w:p>
        </w:tc>
      </w:tr>
      <w:tr w14:paraId="7812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2FA3198">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53</w:t>
            </w:r>
          </w:p>
        </w:tc>
        <w:tc>
          <w:tcPr>
            <w:tcW w:w="8540" w:type="dxa"/>
            <w:gridSpan w:val="2"/>
            <w:vAlign w:val="center"/>
          </w:tcPr>
          <w:p w14:paraId="64AAF5A6">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 2025 年1月1日起，如乙方累计供货金额达 800万以上的，应在甲方指定的交控建工集团任意开发或代建项目购买住宅、商业、写字楼、车位等。当年度累计供货金额达到800万及以上的购买住宅1套、车位1个；年度累计供货金额达到1600万及以上的购买住宅2套、车位2个；年度累计供货金额达到2400万及以上的购买住宅3套、车位3个。1套住宅+1个车位预估价为70万元，购买人可为乙方或乙方指定的购买人。</w:t>
            </w:r>
          </w:p>
          <w:p w14:paraId="3A080580">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2.房屋认购应在该年度采购履约期到期前完成，如乙方未在年度履约期内完成房屋认购的，乙方需向甲方支付该年度供货价款10%的违约金，甲方有权直接从乙方未支付的货款中直接扣除。</w:t>
            </w:r>
          </w:p>
          <w:p w14:paraId="4197EF50">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0EF23A1F">
            <w:pPr>
              <w:keepNext w:val="0"/>
              <w:keepLines w:val="0"/>
              <w:numPr>
                <w:ilvl w:val="0"/>
                <w:numId w:val="0"/>
              </w:numPr>
              <w:suppressLineNumbers w:val="0"/>
              <w:snapToGrid w:val="0"/>
              <w:spacing w:before="0" w:beforeLines="0" w:beforeAutospacing="0" w:after="0" w:afterLines="0" w:afterAutospacing="0" w:line="400" w:lineRule="exact"/>
              <w:ind w:left="0" w:right="0"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①具备独立法人资格，持有有效的营业执照。</w:t>
            </w:r>
          </w:p>
          <w:p w14:paraId="4FDDB1FA">
            <w:pPr>
              <w:keepNext w:val="0"/>
              <w:keepLines w:val="0"/>
              <w:numPr>
                <w:ilvl w:val="0"/>
                <w:numId w:val="0"/>
              </w:numPr>
              <w:suppressLineNumbers w:val="0"/>
              <w:snapToGrid w:val="0"/>
              <w:spacing w:before="0" w:beforeLines="0" w:beforeAutospacing="0" w:after="0" w:afterLines="0" w:afterAutospacing="0" w:line="400" w:lineRule="exact"/>
              <w:ind w:left="0" w:right="0"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②具有</w:t>
            </w:r>
            <w:r>
              <w:rPr>
                <w:rFonts w:hint="eastAsia" w:ascii="宋体" w:hAnsi="宋体" w:cs="宋体"/>
                <w:color w:val="auto"/>
                <w:sz w:val="21"/>
                <w:szCs w:val="22"/>
                <w:highlight w:val="none"/>
                <w:lang w:val="en-US" w:eastAsia="zh-CN"/>
              </w:rPr>
              <w:t>人民防空工程防护设备定点生产企业资格认定证书</w:t>
            </w:r>
            <w:r>
              <w:rPr>
                <w:rFonts w:hint="eastAsia" w:ascii="宋体" w:hAnsi="宋体" w:cs="宋体"/>
                <w:color w:val="auto"/>
                <w:sz w:val="21"/>
                <w:szCs w:val="22"/>
                <w:highlight w:val="none"/>
              </w:rPr>
              <w:t>。</w:t>
            </w:r>
          </w:p>
          <w:p w14:paraId="0A3B32DA">
            <w:pPr>
              <w:keepNext w:val="0"/>
              <w:keepLines w:val="0"/>
              <w:suppressLineNumbers w:val="0"/>
              <w:spacing w:before="0" w:beforeAutospacing="0" w:after="0" w:afterAutospacing="0"/>
              <w:ind w:left="0" w:right="0" w:firstLine="420" w:firstLineChars="200"/>
              <w:jc w:val="both"/>
              <w:rPr>
                <w:rFonts w:hint="eastAsia"/>
                <w:color w:val="auto"/>
                <w:sz w:val="22"/>
                <w:szCs w:val="22"/>
                <w:highlight w:val="none"/>
              </w:rPr>
            </w:pPr>
            <w:r>
              <w:rPr>
                <w:rFonts w:hint="eastAsia" w:ascii="宋体" w:hAnsi="宋体" w:cs="宋体"/>
                <w:color w:val="auto"/>
                <w:sz w:val="21"/>
                <w:szCs w:val="22"/>
                <w:highlight w:val="none"/>
                <w:lang w:val="en-US" w:eastAsia="zh-CN"/>
              </w:rPr>
              <w:t>③</w:t>
            </w:r>
            <w:r>
              <w:rPr>
                <w:rFonts w:hint="eastAsia" w:ascii="宋体" w:hAnsi="宋体" w:cs="宋体"/>
                <w:color w:val="auto"/>
                <w:sz w:val="21"/>
                <w:szCs w:val="22"/>
                <w:highlight w:val="none"/>
              </w:rPr>
              <w:t>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2"/>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highlight w:val="none"/>
                <w:lang w:val="en-US" w:eastAsia="zh-CN"/>
              </w:rPr>
              <w:t>至少提供1个自2022年1月1日以来，单项合同额不低于100万元的人防门合同业绩，</w:t>
            </w:r>
            <w:r>
              <w:rPr>
                <w:rFonts w:hint="default"/>
                <w:color w:val="auto"/>
                <w:highlight w:val="none"/>
                <w:lang w:val="en-US" w:eastAsia="zh-CN"/>
              </w:rPr>
              <w:t>每个业绩至少提供不低于合同金额50%的增值税发票（或提供不低于资格审查要求业绩金额的增值税发票），未提供或提供发票金额不足的，该业绩无效</w:t>
            </w:r>
            <w:r>
              <w:rPr>
                <w:rFonts w:hint="eastAsia"/>
                <w:color w:val="auto"/>
                <w:highlight w:val="none"/>
                <w:lang w:val="en-US" w:eastAsia="zh-CN"/>
              </w:rPr>
              <w:t>。</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人未被人民法院列入失信被执行人（以“信用中国”官网http://www.creditchina.gov.cn查询为准）。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.没有在国家企业信用信息公示系统（http://www.gsxt.gov.cn）中被列入严重违法失信企业名单。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3"/>
        <w:rPr>
          <w:rFonts w:ascii="Times New Roman" w:hAnsi="Times New Roman" w:eastAsia="黑体" w:cs="Times New Roman"/>
          <w:bCs/>
          <w:color w:val="auto"/>
          <w:sz w:val="24"/>
          <w:szCs w:val="32"/>
          <w:highlight w:val="none"/>
        </w:rPr>
      </w:pPr>
    </w:p>
    <w:p w14:paraId="48355162">
      <w:pPr>
        <w:pStyle w:val="33"/>
        <w:rPr>
          <w:rFonts w:ascii="Times New Roman" w:hAnsi="Times New Roman" w:eastAsia="黑体" w:cs="Times New Roman"/>
          <w:bCs/>
          <w:color w:val="auto"/>
          <w:sz w:val="24"/>
          <w:szCs w:val="32"/>
          <w:highlight w:val="none"/>
        </w:rPr>
      </w:pPr>
    </w:p>
    <w:p w14:paraId="6DB6BC15">
      <w:pPr>
        <w:jc w:val="center"/>
        <w:rPr>
          <w:rFonts w:hint="eastAsia" w:ascii="黑体" w:eastAsia="黑体"/>
          <w:color w:val="auto"/>
          <w:sz w:val="24"/>
          <w:szCs w:val="24"/>
          <w:highlight w:val="none"/>
        </w:rPr>
      </w:pPr>
    </w:p>
    <w:p w14:paraId="1BAF51CA">
      <w:pPr>
        <w:jc w:val="center"/>
        <w:rPr>
          <w:rFonts w:hint="eastAsia" w:ascii="黑体" w:eastAsia="黑体"/>
          <w:color w:val="auto"/>
          <w:sz w:val="24"/>
          <w:szCs w:val="24"/>
          <w:highlight w:val="none"/>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72491CE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1A876D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34D240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5653FBF4">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5673F0D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ACE91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4812FE2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0623615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3B8667E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3A53D988">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1EC1205">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6B5CBC3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8031D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3CB294D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47C953A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4B6C2BF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r>
        <w:rPr>
          <w:rFonts w:hint="eastAsia" w:ascii="宋体" w:hAnsi="宋体" w:eastAsia="宋体" w:cs="宋体"/>
          <w:color w:val="auto"/>
          <w:highlight w:val="none"/>
        </w:rPr>
        <w:t>；</w:t>
      </w:r>
    </w:p>
    <w:p w14:paraId="60BB823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）资格能力</w:t>
      </w:r>
      <w:r>
        <w:rPr>
          <w:rFonts w:hint="eastAsia" w:ascii="宋体" w:hAnsi="宋体" w:eastAsia="宋体" w:cs="宋体"/>
          <w:color w:val="auto"/>
          <w:highlight w:val="none"/>
          <w:lang w:val="en-US" w:eastAsia="zh-CN"/>
        </w:rPr>
        <w:t>；</w:t>
      </w:r>
    </w:p>
    <w:p w14:paraId="623BF354">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）人防门专项施工方案</w:t>
      </w:r>
      <w:r>
        <w:rPr>
          <w:rFonts w:hint="eastAsia" w:ascii="宋体" w:hAnsi="宋体" w:eastAsia="宋体" w:cs="宋体"/>
          <w:color w:val="auto"/>
          <w:highlight w:val="none"/>
          <w:lang w:eastAsia="zh-CN"/>
        </w:rPr>
        <w:t>；</w:t>
      </w:r>
    </w:p>
    <w:p w14:paraId="26AACF9D">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）应急保障措施方案</w:t>
      </w:r>
      <w:r>
        <w:rPr>
          <w:rFonts w:hint="eastAsia" w:ascii="宋体" w:hAnsi="宋体" w:eastAsia="宋体" w:cs="宋体"/>
          <w:color w:val="auto"/>
          <w:highlight w:val="none"/>
          <w:lang w:eastAsia="zh-CN"/>
        </w:rPr>
        <w:t>；</w:t>
      </w:r>
    </w:p>
    <w:p w14:paraId="2FE62E28">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承诺书</w:t>
      </w:r>
      <w:r>
        <w:rPr>
          <w:rFonts w:hint="eastAsia" w:ascii="宋体" w:hAnsi="宋体" w:eastAsia="宋体" w:cs="宋体"/>
          <w:color w:val="auto"/>
          <w:highlight w:val="none"/>
          <w:lang w:eastAsia="zh-CN"/>
        </w:rPr>
        <w:t>；</w:t>
      </w:r>
    </w:p>
    <w:p w14:paraId="0593F931">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6E291C06">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E28237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6D123A2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625EE505">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向未中标人办理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1B54B5B">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3FE11A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3FE0F030">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CFD1BF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56AD3A6B">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31EDF993">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27F170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1EE217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49B236A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7FCB9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中标公示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合同签订前，乙方需向甲方支付合同总价2%的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或提供合同总价5%的银行保函</w:t>
      </w:r>
      <w:r>
        <w:rPr>
          <w:rFonts w:hint="eastAsia" w:ascii="Times New Roman" w:hAnsi="Times New Roman" w:cs="Times New Roman"/>
          <w:color w:val="auto"/>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14201253"/>
      <w:bookmarkStart w:id="46" w:name="_Toc26656984"/>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26656988"/>
      <w:bookmarkStart w:id="48" w:name="_Toc14201257"/>
      <w:bookmarkStart w:id="49" w:name="_Toc9067727"/>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26656993"/>
      <w:bookmarkStart w:id="51" w:name="_Toc14201262"/>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14201263"/>
      <w:bookmarkStart w:id="53" w:name="_Toc9067731"/>
      <w:bookmarkStart w:id="54" w:name="_Toc26656994"/>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26230F37">
      <w:pPr>
        <w:pStyle w:val="4"/>
        <w:rPr>
          <w:rFonts w:hint="eastAsia" w:ascii="Times New Roman" w:hAnsi="Times New Roman"/>
          <w:color w:val="auto"/>
          <w:sz w:val="21"/>
          <w:szCs w:val="24"/>
          <w:highlight w:val="none"/>
        </w:rPr>
      </w:pPr>
    </w:p>
    <w:p w14:paraId="3FC8AF9F">
      <w:pPr>
        <w:rPr>
          <w:rFonts w:hint="eastAsia" w:ascii="Times New Roman" w:hAnsi="Times New Roman"/>
          <w:color w:val="auto"/>
          <w:sz w:val="21"/>
          <w:szCs w:val="24"/>
          <w:highlight w:val="none"/>
        </w:rPr>
      </w:pPr>
    </w:p>
    <w:p w14:paraId="1F4DE6D5">
      <w:pPr>
        <w:pStyle w:val="2"/>
        <w:rPr>
          <w:rFonts w:hint="eastAsia"/>
          <w:color w:val="auto"/>
        </w:rPr>
      </w:pPr>
    </w:p>
    <w:p w14:paraId="6208F4F3">
      <w:pPr>
        <w:rPr>
          <w:rFonts w:hint="eastAsia" w:ascii="Times New Roman" w:hAnsi="Times New Roman"/>
          <w:color w:val="auto"/>
          <w:sz w:val="21"/>
          <w:szCs w:val="24"/>
          <w:highlight w:val="none"/>
        </w:rPr>
      </w:pPr>
    </w:p>
    <w:p w14:paraId="0FF5D759">
      <w:pPr>
        <w:pStyle w:val="2"/>
        <w:rPr>
          <w:rFonts w:hint="eastAsia"/>
          <w:color w:val="auto"/>
        </w:rPr>
      </w:pPr>
    </w:p>
    <w:p w14:paraId="21FC8088">
      <w:pPr>
        <w:spacing w:line="440" w:lineRule="exact"/>
        <w:rPr>
          <w:rFonts w:hint="eastAsia" w:ascii="Times New Roman" w:hAnsi="Times New Roman"/>
          <w:color w:val="auto"/>
          <w:sz w:val="21"/>
          <w:szCs w:val="24"/>
          <w:highlight w:val="none"/>
        </w:rPr>
      </w:pPr>
    </w:p>
    <w:p w14:paraId="6EE6A9DE">
      <w:pPr>
        <w:pStyle w:val="5"/>
        <w:spacing w:before="312" w:after="312"/>
        <w:rPr>
          <w:rFonts w:ascii="Times New Roman" w:hAnsi="Times New Roman" w:eastAsia="宋体" w:cs="Times New Roman"/>
          <w:color w:val="auto"/>
          <w:highlight w:val="none"/>
        </w:rPr>
      </w:pPr>
      <w:bookmarkStart w:id="55" w:name="_Toc9031"/>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152045528"/>
      <w:bookmarkStart w:id="57" w:name="_Toc144974496"/>
      <w:bookmarkStart w:id="58" w:name="_Toc3834"/>
      <w:bookmarkStart w:id="59" w:name="_Toc152042304"/>
      <w:bookmarkStart w:id="60" w:name="_Toc457482536"/>
      <w:bookmarkStart w:id="61" w:name="_Toc447808662"/>
      <w:bookmarkStart w:id="62" w:name="_Toc14847"/>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人的报价文件进行评审，按照评标价由低到高的顺序推荐3名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候选人。评标委员会按评标价由低到高顺序推荐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候选人，评标价相等时，评标委员会依次按照以下优先顺序推荐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（2）投标文件提供的业绩数量多的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（3）投标文件提供的业绩累计合同金额大的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146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7C373F5B">
            <w:pPr>
              <w:pStyle w:val="2"/>
              <w:keepNext w:val="0"/>
              <w:keepLines w:val="0"/>
              <w:suppressLineNumbers w:val="0"/>
              <w:adjustRightInd w:val="0"/>
              <w:snapToGrid w:val="0"/>
              <w:spacing w:before="0" w:beforeAutospacing="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3D3CBC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621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63CC51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BB2E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0C9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5EDF00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246EA5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1E6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225760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3C51D4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DF9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61B5C7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6BE87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047822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4B4CF4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72743B17">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（4）本项目不接受联合体投标。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人未提交两个以上不同的投标文件。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商务及技术文件中未出现有关投标报价的内容。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（8）投标文件未附有招标人不能接受的条件。 </w:t>
            </w:r>
          </w:p>
          <w:p w14:paraId="0CA2464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（9）未放置盖章版的响应文件扫描件（PDF版本）。</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a.按询比文件规定填报了采购人名称、项目名称、补遗书编号（如有）、投标价（包括大写金额和小写金额）；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c.工程量清单中的投标报价与报价函大写金额报价一致；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（3）投标报价未超过询比文件设定的最高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（4）投标报价的大写金额能够确定具体数值。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人未提交两个以上不同的投标报价。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（6）未附有招标人不能接受的条件。</w:t>
            </w:r>
          </w:p>
          <w:p w14:paraId="5402D87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（7）未放置盖章版的报价文件扫描件（PDF版本）和报价清单电子版(EXCEL版)。</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936A21B">
      <w:pPr>
        <w:pStyle w:val="37"/>
        <w:numPr>
          <w:ilvl w:val="0"/>
          <w:numId w:val="0"/>
        </w:numPr>
        <w:spacing w:before="0"/>
        <w:outlineLvl w:val="9"/>
        <w:rPr>
          <w:rFonts w:hint="eastAsia" w:ascii="宋体" w:hAnsi="宋体" w:eastAsia="宋体" w:cs="宋体"/>
          <w:b/>
          <w:bCs/>
          <w:color w:val="auto"/>
          <w:szCs w:val="28"/>
          <w:highlight w:val="none"/>
        </w:rPr>
      </w:pPr>
    </w:p>
    <w:p w14:paraId="0ADDC629">
      <w:pPr>
        <w:pStyle w:val="37"/>
        <w:numPr>
          <w:ilvl w:val="0"/>
          <w:numId w:val="0"/>
        </w:numPr>
        <w:spacing w:before="0"/>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前附表B</w:t>
      </w:r>
    </w:p>
    <w:tbl>
      <w:tblPr>
        <w:tblStyle w:val="2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45D40427">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条款号</w:t>
            </w:r>
          </w:p>
        </w:tc>
        <w:tc>
          <w:tcPr>
            <w:tcW w:w="973"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条款内容</w:t>
            </w:r>
          </w:p>
        </w:tc>
        <w:tc>
          <w:tcPr>
            <w:tcW w:w="3545"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63038A90">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1726" w:type="dxa"/>
            <w:vAlign w:val="center"/>
          </w:tcPr>
          <w:p w14:paraId="29C319BA">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第一个信封</w:t>
            </w:r>
          </w:p>
          <w:p w14:paraId="486E4A63">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评分分值构</w:t>
            </w:r>
          </w:p>
          <w:p w14:paraId="29BC035D">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2"/>
                <w:szCs w:val="22"/>
                <w:highlight w:val="none"/>
                <w:lang w:bidi="ar"/>
              </w:rPr>
              <w:t>成</w:t>
            </w:r>
            <w:r>
              <w:rPr>
                <w:rFonts w:hint="eastAsia" w:ascii="宋体" w:hAnsi="宋体" w:cs="宋体"/>
                <w:color w:val="auto"/>
                <w:sz w:val="21"/>
                <w:szCs w:val="21"/>
                <w:highlight w:val="none"/>
              </w:rPr>
              <w:t>（总分100分）</w:t>
            </w:r>
          </w:p>
        </w:tc>
        <w:tc>
          <w:tcPr>
            <w:tcW w:w="6287" w:type="dxa"/>
            <w:vAlign w:val="center"/>
          </w:tcPr>
          <w:p w14:paraId="70DC34AD">
            <w:pPr>
              <w:keepNext w:val="0"/>
              <w:keepLines w:val="0"/>
              <w:suppressLineNumbers w:val="0"/>
              <w:adjustRightInd w:val="0"/>
              <w:spacing w:before="0" w:beforeLines="0" w:beforeAutospacing="0" w:after="0" w:afterLines="0" w:afterAutospacing="0"/>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rPr>
              <w:t>商务及技术文件评分分值构成：</w:t>
            </w:r>
            <w:r>
              <w:rPr>
                <w:rFonts w:hint="eastAsia" w:ascii="宋体" w:hAnsi="宋体" w:cs="宋体"/>
                <w:b/>
                <w:color w:val="auto"/>
                <w:sz w:val="21"/>
                <w:szCs w:val="21"/>
                <w:highlight w:val="none"/>
                <w:u w:val="single"/>
              </w:rPr>
              <w:t xml:space="preserve"> 100 </w:t>
            </w:r>
            <w:r>
              <w:rPr>
                <w:rFonts w:hint="eastAsia" w:ascii="宋体" w:hAnsi="宋体" w:cs="宋体"/>
                <w:b/>
                <w:color w:val="auto"/>
                <w:sz w:val="21"/>
                <w:szCs w:val="21"/>
                <w:highlight w:val="none"/>
              </w:rPr>
              <w:t>分</w:t>
            </w:r>
          </w:p>
          <w:p w14:paraId="3F619279">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企业业绩：</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50</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651151A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企业实力：</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20</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1F1FD8B2">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资格能力</w:t>
            </w:r>
            <w:r>
              <w:rPr>
                <w:rFonts w:hint="eastAsia" w:ascii="宋体" w:hAnsi="宋体" w:cs="宋体"/>
                <w:color w:val="auto"/>
                <w:sz w:val="21"/>
                <w:szCs w:val="24"/>
                <w:highlight w:val="none"/>
              </w:rPr>
              <w:t>：</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 xml:space="preserve"> 10  </w:t>
            </w:r>
            <w:r>
              <w:rPr>
                <w:rFonts w:hint="eastAsia" w:ascii="宋体" w:hAnsi="宋体" w:cs="宋体"/>
                <w:color w:val="auto"/>
                <w:sz w:val="21"/>
                <w:szCs w:val="24"/>
                <w:highlight w:val="none"/>
              </w:rPr>
              <w:t>分</w:t>
            </w:r>
          </w:p>
          <w:p w14:paraId="2144FC4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人防门专项施工方案：</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10</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265BFC5D">
            <w:pPr>
              <w:pStyle w:val="2"/>
              <w:keepNext w:val="0"/>
              <w:keepLines w:val="0"/>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eastAsia="zh-CN"/>
              </w:rPr>
              <w:t>应急保障措施方案</w:t>
            </w:r>
            <w:r>
              <w:rPr>
                <w:rFonts w:hint="eastAsia"/>
                <w:color w:val="auto"/>
                <w:highlight w:val="none"/>
              </w:rPr>
              <w:t>：</w:t>
            </w:r>
            <w:r>
              <w:rPr>
                <w:rFonts w:hint="eastAsia"/>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10</w:t>
            </w:r>
            <w:r>
              <w:rPr>
                <w:rFonts w:hint="eastAsia"/>
                <w:color w:val="auto"/>
                <w:highlight w:val="none"/>
                <w:u w:val="single"/>
              </w:rPr>
              <w:t xml:space="preserve"> </w:t>
            </w:r>
            <w:r>
              <w:rPr>
                <w:rFonts w:hint="eastAsia"/>
                <w:color w:val="auto"/>
                <w:highlight w:val="none"/>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71BE9E3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2.2.3</w:t>
            </w:r>
          </w:p>
        </w:tc>
        <w:tc>
          <w:tcPr>
            <w:tcW w:w="1726" w:type="dxa"/>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6287" w:type="dxa"/>
            <w:vAlign w:val="center"/>
          </w:tcPr>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5F6C6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①如响应人的评标价低于评标价平均值的90%时，采购人可以在评标现场要求该响应人作出情况说明并提供相应降低工程造价的相关证明材料，参照附表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竞标，并否决其投标。</w:t>
            </w:r>
          </w:p>
          <w:p w14:paraId="7A8DE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②异常低价或不平衡报价，采购人有权作废标处理。</w:t>
            </w:r>
          </w:p>
          <w:p w14:paraId="6E1BC8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29871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78BDF1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低工程造价的相关证明材料，以避免错过电子询标时间，造成的不良后果由响应人自行承担。 </w:t>
            </w:r>
          </w:p>
          <w:p w14:paraId="024E1C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2)以下情形不得作为询标或报价文件中提供异常低价投标说明 </w:t>
            </w:r>
          </w:p>
          <w:p w14:paraId="6DBC41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投标报价依据的情形。 </w:t>
            </w:r>
          </w:p>
          <w:p w14:paraId="7F1F5C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标结果的附件提交给招标人。响应人在投标文件中不能作出有效澄清、说明或采购人认定（按少数服从多数的原则）其存在履约及质量安全风险的，采购人应否决其投标。</w:t>
            </w:r>
          </w:p>
        </w:tc>
      </w:tr>
    </w:tbl>
    <w:p w14:paraId="6731446D">
      <w:pPr>
        <w:rPr>
          <w:rFonts w:hint="eastAsia" w:ascii="黑体" w:eastAsia="黑体"/>
          <w:color w:val="auto"/>
          <w:sz w:val="21"/>
          <w:szCs w:val="21"/>
          <w:highlight w:val="none"/>
          <w:lang w:val="en-US" w:eastAsia="zh-CN"/>
        </w:rPr>
      </w:pPr>
    </w:p>
    <w:tbl>
      <w:tblPr>
        <w:tblStyle w:val="2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5"/>
        <w:gridCol w:w="933"/>
        <w:gridCol w:w="1662"/>
        <w:gridCol w:w="5395"/>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94" w:type="pct"/>
            <w:vAlign w:val="center"/>
          </w:tcPr>
          <w:p w14:paraId="159E5634">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26" w:type="pct"/>
            <w:vAlign w:val="center"/>
          </w:tcPr>
          <w:p w14:paraId="5521CC7E">
            <w:pPr>
              <w:pStyle w:val="2"/>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37" w:type="pct"/>
            <w:vAlign w:val="center"/>
          </w:tcPr>
          <w:p w14:paraId="70A2FD8E">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42" w:type="pct"/>
            <w:vAlign w:val="center"/>
          </w:tcPr>
          <w:p w14:paraId="3868DF9F">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5" w:hRule="atLeast"/>
          <w:jc w:val="center"/>
        </w:trPr>
        <w:tc>
          <w:tcPr>
            <w:tcW w:w="494" w:type="pct"/>
            <w:vMerge w:val="restart"/>
            <w:vAlign w:val="center"/>
          </w:tcPr>
          <w:p w14:paraId="572DA4A5">
            <w:pPr>
              <w:pStyle w:val="2"/>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5BC79124">
            <w:pPr>
              <w:pStyle w:val="2"/>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26" w:type="pct"/>
            <w:vMerge w:val="restart"/>
            <w:vAlign w:val="center"/>
          </w:tcPr>
          <w:p w14:paraId="2B8AF269">
            <w:pPr>
              <w:pStyle w:val="2"/>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937" w:type="pct"/>
            <w:vAlign w:val="center"/>
          </w:tcPr>
          <w:p w14:paraId="2CD51667">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03AC8947">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lang w:val="en-US" w:eastAsia="zh-CN"/>
              </w:rPr>
              <w:t>50</w:t>
            </w:r>
            <w:r>
              <w:rPr>
                <w:rFonts w:hint="eastAsia" w:ascii="宋体" w:hAnsi="宋体" w:cs="宋体"/>
                <w:color w:val="auto"/>
                <w:sz w:val="21"/>
                <w:szCs w:val="21"/>
                <w:highlight w:val="none"/>
              </w:rPr>
              <w:t>分）</w:t>
            </w:r>
          </w:p>
        </w:tc>
        <w:tc>
          <w:tcPr>
            <w:tcW w:w="3042" w:type="pct"/>
            <w:vAlign w:val="center"/>
          </w:tcPr>
          <w:p w14:paraId="003C586F">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202</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 xml:space="preserve"> 年 1月1 日以来（以合同签订时间为准），除供应商资审条件要求的业绩得</w:t>
            </w:r>
            <w:r>
              <w:rPr>
                <w:rFonts w:hint="eastAsia" w:ascii="宋体" w:hAnsi="宋体" w:cs="宋体"/>
                <w:color w:val="auto"/>
                <w:sz w:val="21"/>
                <w:szCs w:val="24"/>
                <w:highlight w:val="none"/>
                <w:lang w:val="en-US" w:eastAsia="zh-CN"/>
              </w:rPr>
              <w:t>35</w:t>
            </w:r>
            <w:r>
              <w:rPr>
                <w:rFonts w:hint="eastAsia" w:ascii="宋体" w:hAnsi="宋体" w:cs="宋体"/>
                <w:color w:val="auto"/>
                <w:sz w:val="21"/>
                <w:szCs w:val="24"/>
                <w:highlight w:val="none"/>
              </w:rPr>
              <w:t>分，近三年来具有</w:t>
            </w:r>
            <w:r>
              <w:rPr>
                <w:rFonts w:hint="eastAsia" w:ascii="宋体" w:hAnsi="宋体" w:cs="宋体"/>
                <w:color w:val="auto"/>
                <w:sz w:val="21"/>
                <w:szCs w:val="24"/>
                <w:highlight w:val="none"/>
                <w:u w:val="single"/>
                <w:lang w:val="en-US" w:eastAsia="zh-CN"/>
              </w:rPr>
              <w:t>100</w:t>
            </w:r>
            <w:r>
              <w:rPr>
                <w:rFonts w:hint="eastAsia" w:ascii="宋体" w:hAnsi="宋体" w:cs="宋体"/>
                <w:color w:val="auto"/>
                <w:sz w:val="21"/>
                <w:szCs w:val="24"/>
                <w:highlight w:val="none"/>
              </w:rPr>
              <w:t>万及以上的</w:t>
            </w:r>
            <w:r>
              <w:rPr>
                <w:rFonts w:hint="eastAsia" w:ascii="宋体" w:hAnsi="宋体" w:cs="宋体"/>
                <w:color w:val="auto"/>
                <w:sz w:val="21"/>
                <w:szCs w:val="24"/>
                <w:highlight w:val="none"/>
                <w:u w:val="none"/>
                <w:lang w:val="en-US" w:eastAsia="zh-CN"/>
              </w:rPr>
              <w:t>人防门合同</w:t>
            </w:r>
            <w:r>
              <w:rPr>
                <w:rFonts w:hint="eastAsia" w:ascii="宋体" w:hAnsi="宋体" w:cs="宋体"/>
                <w:color w:val="auto"/>
                <w:sz w:val="21"/>
                <w:szCs w:val="24"/>
                <w:highlight w:val="none"/>
              </w:rPr>
              <w:t>业绩，每多提供一个业绩得</w:t>
            </w:r>
            <w:r>
              <w:rPr>
                <w:rFonts w:hint="eastAsia" w:ascii="宋体" w:hAnsi="宋体" w:cs="宋体"/>
                <w:color w:val="auto"/>
                <w:sz w:val="21"/>
                <w:szCs w:val="24"/>
                <w:highlight w:val="none"/>
                <w:lang w:val="en-US" w:eastAsia="zh-CN"/>
              </w:rPr>
              <w:t>5</w:t>
            </w:r>
            <w:r>
              <w:rPr>
                <w:rFonts w:hint="eastAsia" w:ascii="宋体" w:hAnsi="宋体" w:cs="宋体"/>
                <w:color w:val="auto"/>
                <w:sz w:val="21"/>
                <w:szCs w:val="24"/>
                <w:highlight w:val="none"/>
              </w:rPr>
              <w:t>分，满分</w:t>
            </w:r>
            <w:r>
              <w:rPr>
                <w:rFonts w:hint="eastAsia" w:ascii="宋体" w:hAnsi="宋体" w:cs="宋体"/>
                <w:color w:val="auto"/>
                <w:sz w:val="21"/>
                <w:szCs w:val="24"/>
                <w:highlight w:val="none"/>
                <w:lang w:val="en-US" w:eastAsia="zh-CN"/>
              </w:rPr>
              <w:t>50</w:t>
            </w:r>
            <w:r>
              <w:rPr>
                <w:rFonts w:hint="eastAsia" w:ascii="宋体" w:hAnsi="宋体" w:cs="宋体"/>
                <w:color w:val="auto"/>
                <w:sz w:val="21"/>
                <w:szCs w:val="24"/>
                <w:highlight w:val="none"/>
              </w:rPr>
              <w:t>分。</w:t>
            </w:r>
          </w:p>
          <w:p w14:paraId="1679D332">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响应人</w:t>
            </w:r>
            <w:r>
              <w:rPr>
                <w:rFonts w:hint="eastAsia" w:ascii="宋体" w:hAnsi="宋体" w:cs="宋体"/>
                <w:color w:val="auto"/>
                <w:sz w:val="21"/>
                <w:szCs w:val="24"/>
                <w:highlight w:val="none"/>
              </w:rPr>
              <w:t>业绩合同应提供包含项目名称、合同总金额、合同签订时间、合同签字盖章页等关键内容的关键页的扫描件；</w:t>
            </w:r>
            <w:r>
              <w:rPr>
                <w:rFonts w:hint="eastAsia" w:ascii="宋体" w:hAnsi="宋体" w:cs="宋体"/>
                <w:color w:val="auto"/>
                <w:sz w:val="21"/>
                <w:szCs w:val="24"/>
                <w:highlight w:val="none"/>
                <w:lang w:val="en-US" w:eastAsia="zh-CN"/>
              </w:rPr>
              <w:t>每个业绩至少提供不低于合同金额50%的增值税发票（或提供不低于资格审查要求业绩金额的增值税发票），未提供或提供发票金额不足的，该业绩无效。</w:t>
            </w:r>
          </w:p>
          <w:p w14:paraId="71881B33">
            <w:pPr>
              <w:pStyle w:val="2"/>
              <w:keepNext w:val="0"/>
              <w:keepLines w:val="0"/>
              <w:suppressLineNumbers w:val="0"/>
              <w:adjustRightInd w:val="0"/>
              <w:snapToGrid w:val="0"/>
              <w:spacing w:before="0" w:beforeLines="0" w:beforeAutospacing="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494" w:type="pct"/>
            <w:vMerge w:val="continue"/>
            <w:vAlign w:val="center"/>
          </w:tcPr>
          <w:p w14:paraId="15F3468D">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6271DD01">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2E17CD21">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企业实力</w:t>
            </w:r>
          </w:p>
          <w:p w14:paraId="491F5FF2">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rPr>
              <w:t>分）</w:t>
            </w:r>
          </w:p>
        </w:tc>
        <w:tc>
          <w:tcPr>
            <w:tcW w:w="3042" w:type="pct"/>
            <w:vAlign w:val="center"/>
          </w:tcPr>
          <w:p w14:paraId="142D53F5">
            <w:pPr>
              <w:pStyle w:val="18"/>
              <w:keepNext w:val="0"/>
              <w:keepLines w:val="0"/>
              <w:suppressLineNumbers w:val="0"/>
              <w:spacing w:before="0" w:beforeLines="0" w:beforeAutospacing="0" w:after="0" w:afterLines="0" w:afterAutospacing="0"/>
              <w:ind w:left="0" w:right="0" w:firstLine="210" w:firstLineChars="100"/>
              <w:jc w:val="both"/>
              <w:rPr>
                <w:rFonts w:hint="eastAsia" w:ascii="宋体" w:hAnsi="宋体" w:eastAsia="宋体" w:cs="宋体"/>
                <w:color w:val="auto"/>
                <w:kern w:val="0"/>
                <w:sz w:val="21"/>
                <w:szCs w:val="21"/>
                <w:highlight w:val="yellow"/>
                <w:lang w:bidi="ar"/>
              </w:rPr>
            </w:pPr>
            <w:r>
              <w:rPr>
                <w:rFonts w:hint="eastAsia" w:ascii="宋体" w:hAnsi="宋体" w:eastAsia="宋体" w:cs="宋体"/>
                <w:color w:val="auto"/>
                <w:kern w:val="0"/>
                <w:sz w:val="21"/>
                <w:szCs w:val="21"/>
                <w:highlight w:val="yellow"/>
                <w:lang w:val="en-US" w:eastAsia="zh-CN" w:bidi="ar"/>
              </w:rPr>
              <w:t>产品生产厂家企业实力</w:t>
            </w:r>
            <w:r>
              <w:rPr>
                <w:rFonts w:hint="eastAsia" w:ascii="宋体" w:hAnsi="宋体" w:eastAsia="宋体" w:cs="宋体"/>
                <w:color w:val="auto"/>
                <w:kern w:val="0"/>
                <w:sz w:val="21"/>
                <w:szCs w:val="21"/>
                <w:highlight w:val="yellow"/>
                <w:lang w:bidi="ar"/>
              </w:rPr>
              <w:t>：</w:t>
            </w:r>
          </w:p>
          <w:p w14:paraId="0B7DADC9">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bidi="ar"/>
              </w:rPr>
              <w:t>.厂区规模情况</w:t>
            </w:r>
            <w:r>
              <w:rPr>
                <w:rFonts w:hint="eastAsia" w:ascii="宋体" w:hAnsi="宋体" w:eastAsia="宋体" w:cs="宋体"/>
                <w:color w:val="auto"/>
                <w:kern w:val="0"/>
                <w:sz w:val="21"/>
                <w:szCs w:val="21"/>
                <w:highlight w:val="none"/>
                <w:lang w:bidi="ar"/>
              </w:rPr>
              <w:t>（</w:t>
            </w:r>
            <w:r>
              <w:rPr>
                <w:rFonts w:hint="eastAsia" w:ascii="宋体" w:hAnsi="宋体" w:eastAsia="宋体" w:cs="宋体"/>
                <w:b/>
                <w:bCs/>
                <w:color w:val="auto"/>
                <w:kern w:val="0"/>
                <w:sz w:val="21"/>
                <w:szCs w:val="21"/>
                <w:highlight w:val="none"/>
                <w:lang w:bidi="ar"/>
              </w:rPr>
              <w:t>须提供</w:t>
            </w:r>
            <w:r>
              <w:rPr>
                <w:rFonts w:hint="eastAsia" w:ascii="宋体" w:hAnsi="宋体" w:eastAsia="宋体" w:cs="宋体"/>
                <w:b/>
                <w:bCs/>
                <w:color w:val="auto"/>
                <w:kern w:val="0"/>
                <w:sz w:val="21"/>
                <w:szCs w:val="21"/>
                <w:highlight w:val="none"/>
                <w:lang w:val="en-US" w:eastAsia="zh-CN" w:bidi="ar"/>
              </w:rPr>
              <w:t>投标产品生产加工厂的相关资料，包括但不限于工厂具体定位（百度地图定位截图）、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），评委根据上述证明材料综合评审，优秀的得</w:t>
            </w:r>
            <w:r>
              <w:rPr>
                <w:rFonts w:hint="eastAsia" w:ascii="宋体" w:hAnsi="宋体" w:eastAsia="宋体" w:cs="宋体"/>
                <w:color w:val="auto"/>
                <w:kern w:val="0"/>
                <w:sz w:val="21"/>
                <w:szCs w:val="21"/>
                <w:highlight w:val="none"/>
                <w:lang w:val="en-US" w:eastAsia="zh-CN" w:bidi="ar"/>
              </w:rPr>
              <w:t>7-5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4-2</w:t>
            </w:r>
            <w:r>
              <w:rPr>
                <w:rFonts w:hint="eastAsia" w:ascii="宋体" w:hAnsi="宋体" w:eastAsia="宋体" w:cs="宋体"/>
                <w:color w:val="auto"/>
                <w:kern w:val="0"/>
                <w:sz w:val="21"/>
                <w:szCs w:val="21"/>
                <w:highlight w:val="none"/>
                <w:lang w:bidi="ar"/>
              </w:rPr>
              <w:t>分，较差</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bidi="ar"/>
              </w:rPr>
              <w:t>得基础分</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213C4856">
            <w:pPr>
              <w:pStyle w:val="18"/>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default"/>
                <w:color w:val="auto"/>
                <w:highlight w:val="none"/>
                <w:lang w:val="en-US" w:eastAsia="zh-CN"/>
              </w:rPr>
            </w:pPr>
            <w:r>
              <w:rPr>
                <w:rFonts w:hint="eastAsia" w:ascii="宋体" w:hAnsi="宋体" w:eastAsia="宋体" w:cs="宋体"/>
                <w:b/>
                <w:bCs/>
                <w:color w:val="auto"/>
                <w:kern w:val="0"/>
                <w:sz w:val="21"/>
                <w:szCs w:val="21"/>
                <w:highlight w:val="none"/>
                <w:u w:val="none"/>
                <w:lang w:val="en-US" w:eastAsia="zh-CN" w:bidi="ar"/>
              </w:rPr>
              <w:t>2.企业获得奖项及荣誉证书等</w:t>
            </w:r>
            <w:r>
              <w:rPr>
                <w:rFonts w:hint="eastAsia" w:ascii="宋体" w:hAnsi="宋体" w:eastAsia="宋体" w:cs="宋体"/>
                <w:color w:val="auto"/>
                <w:kern w:val="0"/>
                <w:sz w:val="21"/>
                <w:szCs w:val="21"/>
                <w:highlight w:val="none"/>
                <w:u w:val="none"/>
                <w:lang w:val="en-US" w:eastAsia="zh-CN" w:bidi="ar"/>
              </w:rPr>
              <w:t>（须提供证书证明材料)优秀的得7-5分；一般的得4-2分，较差的得基础分1分，未提供不得分；</w:t>
            </w:r>
          </w:p>
          <w:p w14:paraId="5BA79F9B">
            <w:pPr>
              <w:pStyle w:val="18"/>
              <w:keepNext w:val="0"/>
              <w:keepLines w:val="0"/>
              <w:suppressLineNumbers w:val="0"/>
              <w:spacing w:before="0" w:beforeLines="0" w:beforeAutospacing="0" w:after="0" w:afterLines="0" w:afterAutospacing="0"/>
              <w:ind w:left="0" w:right="0" w:firstLine="211" w:firstLineChars="100"/>
              <w:jc w:val="both"/>
              <w:rPr>
                <w:rFonts w:hint="eastAsia"/>
                <w:color w:val="auto"/>
                <w:highlight w:val="yellow"/>
                <w:lang w:eastAsia="zh-CN"/>
              </w:rPr>
            </w:pPr>
            <w:r>
              <w:rPr>
                <w:rFonts w:hint="eastAsia" w:ascii="宋体" w:hAnsi="宋体" w:eastAsia="宋体" w:cs="宋体"/>
                <w:b/>
                <w:color w:val="auto"/>
                <w:kern w:val="0"/>
                <w:sz w:val="21"/>
                <w:szCs w:val="21"/>
                <w:highlight w:val="none"/>
                <w:lang w:val="en-US" w:eastAsia="zh-CN" w:bidi="ar"/>
              </w:rPr>
              <w:t>3</w:t>
            </w:r>
            <w:r>
              <w:rPr>
                <w:rFonts w:hint="eastAsia" w:ascii="宋体" w:hAnsi="宋体" w:eastAsia="宋体" w:cs="宋体"/>
                <w:b/>
                <w:color w:val="auto"/>
                <w:kern w:val="0"/>
                <w:sz w:val="21"/>
                <w:szCs w:val="21"/>
                <w:highlight w:val="none"/>
                <w:lang w:bidi="ar"/>
              </w:rPr>
              <w:t>.人员情况</w:t>
            </w:r>
            <w:r>
              <w:rPr>
                <w:rFonts w:hint="eastAsia" w:ascii="宋体" w:hAnsi="宋体" w:eastAsia="宋体" w:cs="宋体"/>
                <w:color w:val="auto"/>
                <w:kern w:val="0"/>
                <w:sz w:val="21"/>
                <w:szCs w:val="21"/>
                <w:highlight w:val="none"/>
                <w:lang w:bidi="ar"/>
              </w:rPr>
              <w:t>（生产人员、安装人员、售后人员情况，可提供公司社保名录等证明材料），评委根据上述证明材料综合评审，优秀的得</w:t>
            </w:r>
            <w:r>
              <w:rPr>
                <w:rFonts w:hint="eastAsia" w:ascii="宋体" w:hAnsi="宋体" w:eastAsia="宋体" w:cs="宋体"/>
                <w:color w:val="auto"/>
                <w:kern w:val="0"/>
                <w:sz w:val="21"/>
                <w:szCs w:val="21"/>
                <w:highlight w:val="none"/>
                <w:lang w:val="en-US" w:eastAsia="zh-CN" w:bidi="ar"/>
              </w:rPr>
              <w:t>6-4</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bidi="ar"/>
              </w:rPr>
              <w:t>分，较差</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bidi="ar"/>
              </w:rPr>
              <w:t>得基础分</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4A57E4ED">
            <w:pPr>
              <w:pStyle w:val="18"/>
              <w:keepNext w:val="0"/>
              <w:keepLines w:val="0"/>
              <w:suppressLineNumbers w:val="0"/>
              <w:spacing w:before="0" w:beforeLines="0" w:beforeAutospacing="0" w:after="0" w:afterLines="0" w:afterAutospacing="0"/>
              <w:ind w:left="0" w:leftChars="0" w:right="0" w:rightChars="0"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bidi="ar"/>
              </w:rPr>
              <w:t>本项累计</w:t>
            </w:r>
            <w:r>
              <w:rPr>
                <w:rFonts w:hint="eastAsia" w:ascii="宋体" w:hAnsi="宋体" w:eastAsia="宋体" w:cs="宋体"/>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bidi="ar"/>
              </w:rPr>
              <w:t>分。</w:t>
            </w:r>
            <w:r>
              <w:rPr>
                <w:rFonts w:hint="eastAsia" w:ascii="宋体" w:hAnsi="宋体" w:eastAsia="宋体" w:cs="宋体"/>
                <w:b/>
                <w:color w:val="auto"/>
                <w:kern w:val="0"/>
                <w:sz w:val="21"/>
                <w:szCs w:val="21"/>
                <w:highlight w:val="none"/>
                <w:lang w:bidi="ar"/>
              </w:rPr>
              <w:t>（如采购人发现响应人提供的资料弄虚作假，采购人有权取消中标资格，已签合同的可随时解除合同）</w:t>
            </w:r>
          </w:p>
        </w:tc>
      </w:tr>
      <w:tr w14:paraId="485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94" w:type="pct"/>
            <w:vMerge w:val="continue"/>
            <w:vAlign w:val="center"/>
          </w:tcPr>
          <w:p w14:paraId="770DBF94">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7680D05C">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169F1E9D">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资格能力</w:t>
            </w:r>
          </w:p>
          <w:p w14:paraId="61E453F2">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lang w:val="en-US" w:eastAsia="zh-CN"/>
              </w:rPr>
              <w:t>）</w:t>
            </w:r>
          </w:p>
        </w:tc>
        <w:tc>
          <w:tcPr>
            <w:tcW w:w="3042" w:type="pct"/>
            <w:vAlign w:val="center"/>
          </w:tcPr>
          <w:p w14:paraId="5DC30953">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1.提供拟使用人防门的第三方检测报告；</w:t>
            </w:r>
          </w:p>
          <w:p w14:paraId="32A869A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2.提供拟使用人防门的出厂合格证书（质量证明文件）；</w:t>
            </w:r>
          </w:p>
          <w:p w14:paraId="491653E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val="0"/>
                <w:color w:val="auto"/>
                <w:kern w:val="2"/>
                <w:sz w:val="21"/>
                <w:szCs w:val="24"/>
                <w:highlight w:val="none"/>
                <w:lang w:val="en-US" w:eastAsia="zh-CN" w:bidi="ar-SA"/>
              </w:rPr>
              <w:t>上述每提供一条得5分，</w:t>
            </w:r>
            <w:r>
              <w:rPr>
                <w:rFonts w:hint="eastAsia" w:ascii="宋体" w:hAnsi="宋体" w:cs="宋体"/>
                <w:color w:val="auto"/>
                <w:sz w:val="21"/>
                <w:szCs w:val="21"/>
                <w:highlight w:val="none"/>
                <w:lang w:val="en-US" w:eastAsia="zh-CN" w:bidi="ar"/>
              </w:rPr>
              <w:t>未提供不得分，满分10分。</w:t>
            </w:r>
            <w:r>
              <w:rPr>
                <w:rFonts w:hint="eastAsia" w:ascii="宋体" w:hAnsi="宋体" w:cs="宋体"/>
                <w:color w:val="auto"/>
                <w:sz w:val="21"/>
                <w:szCs w:val="21"/>
                <w:highlight w:val="none"/>
                <w:lang w:bidi="ar"/>
              </w:rPr>
              <w:t xml:space="preserve">  </w:t>
            </w:r>
            <w:r>
              <w:rPr>
                <w:rFonts w:hint="eastAsia" w:ascii="宋体" w:hAnsi="宋体" w:cs="宋体"/>
                <w:color w:val="auto"/>
                <w:sz w:val="21"/>
                <w:szCs w:val="21"/>
                <w:highlight w:val="none"/>
                <w:lang w:val="en-US" w:eastAsia="zh-CN" w:bidi="ar"/>
              </w:rPr>
              <w:t xml:space="preserve"> </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94" w:type="pct"/>
            <w:vMerge w:val="continue"/>
            <w:vAlign w:val="center"/>
          </w:tcPr>
          <w:p w14:paraId="249875D6">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36F98C23">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74A28C62">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人防门专项施工方案</w:t>
            </w:r>
          </w:p>
          <w:p w14:paraId="578DC3E5">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rPr>
              <w:t>分）</w:t>
            </w:r>
          </w:p>
        </w:tc>
        <w:tc>
          <w:tcPr>
            <w:tcW w:w="3042" w:type="pct"/>
            <w:shd w:val="clear" w:color="auto" w:fill="auto"/>
            <w:vAlign w:val="center"/>
          </w:tcPr>
          <w:p w14:paraId="0C475E43">
            <w:pPr>
              <w:pStyle w:val="2"/>
              <w:keepNext w:val="0"/>
              <w:keepLines w:val="0"/>
              <w:suppressLineNumbers w:val="0"/>
              <w:adjustRightInd w:val="0"/>
              <w:snapToGrid w:val="0"/>
              <w:spacing w:before="0" w:beforeLines="0" w:beforeAutospacing="0" w:afterLines="0" w:afterAutospacing="0"/>
              <w:ind w:left="0" w:leftChars="0" w:right="0" w:rightChars="0"/>
              <w:jc w:val="left"/>
              <w:rPr>
                <w:rFonts w:hint="eastAsia"/>
                <w:color w:val="auto"/>
                <w:highlight w:val="none"/>
                <w:lang w:val="en-US" w:eastAsia="zh-CN"/>
              </w:rPr>
            </w:pPr>
            <w:r>
              <w:rPr>
                <w:rFonts w:hint="eastAsia" w:ascii="宋体" w:hAnsi="宋体" w:cs="宋体"/>
                <w:color w:val="auto"/>
                <w:sz w:val="21"/>
                <w:szCs w:val="21"/>
                <w:highlight w:val="none"/>
                <w:lang w:val="en-US" w:eastAsia="zh-CN"/>
              </w:rPr>
              <w:t>安装、拆除</w:t>
            </w:r>
            <w:r>
              <w:rPr>
                <w:rFonts w:hint="eastAsia" w:ascii="宋体" w:hAnsi="宋体" w:cs="宋体"/>
                <w:color w:val="auto"/>
                <w:sz w:val="21"/>
                <w:szCs w:val="21"/>
                <w:highlight w:val="none"/>
                <w:lang w:val="en-US" w:eastAsia="zh-CN" w:bidi="ar"/>
              </w:rPr>
              <w:t>方案合理,对项目关键技术主要施工计划深入的表述,对重点、难点问题有合理化建议解决方案完整、经济、安全、切实可行、措施得力，评委综合评分，优秀的得10-7分；一般的得6-3分，较差的得基础分2分，未提供不得分。</w:t>
            </w:r>
            <w:r>
              <w:rPr>
                <w:rFonts w:hint="eastAsia" w:ascii="宋体" w:hAnsi="宋体" w:cs="宋体"/>
                <w:color w:val="auto"/>
                <w:sz w:val="21"/>
                <w:szCs w:val="21"/>
                <w:highlight w:val="none"/>
                <w:lang w:bidi="ar"/>
              </w:rPr>
              <w:t xml:space="preserve">  </w:t>
            </w:r>
            <w:r>
              <w:rPr>
                <w:rFonts w:hint="eastAsia" w:ascii="宋体" w:hAnsi="宋体" w:cs="宋体"/>
                <w:color w:val="auto"/>
                <w:sz w:val="21"/>
                <w:szCs w:val="21"/>
                <w:highlight w:val="none"/>
                <w:lang w:val="en-US" w:eastAsia="zh-CN" w:bidi="ar"/>
              </w:rPr>
              <w:t xml:space="preserve"> </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94" w:type="pct"/>
            <w:vMerge w:val="continue"/>
            <w:vAlign w:val="center"/>
          </w:tcPr>
          <w:p w14:paraId="1728D70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2CE56D02">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5E6C495C">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应急保障措施</w:t>
            </w:r>
          </w:p>
          <w:p w14:paraId="6C238EA7">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方案</w:t>
            </w:r>
          </w:p>
          <w:p w14:paraId="06554908">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满分</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tc>
        <w:tc>
          <w:tcPr>
            <w:tcW w:w="3042" w:type="pct"/>
            <w:shd w:val="clear" w:color="auto" w:fill="auto"/>
            <w:vAlign w:val="center"/>
          </w:tcPr>
          <w:p w14:paraId="3686DE7B">
            <w:pPr>
              <w:pStyle w:val="20"/>
              <w:keepNext w:val="0"/>
              <w:keepLines w:val="0"/>
              <w:suppressLineNumbers w:val="0"/>
              <w:spacing w:before="0" w:beforeLines="0" w:beforeAutospacing="0" w:afterLines="0" w:afterAutospacing="0"/>
              <w:ind w:left="0" w:leftChars="0" w:right="0" w:righ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应急保障措施</w:t>
            </w:r>
            <w:r>
              <w:rPr>
                <w:rFonts w:hint="eastAsia" w:ascii="宋体" w:hAnsi="宋体" w:cs="宋体"/>
                <w:color w:val="auto"/>
                <w:sz w:val="21"/>
                <w:szCs w:val="21"/>
                <w:highlight w:val="none"/>
                <w:lang w:eastAsia="zh-CN"/>
              </w:rPr>
              <w:t>方案</w:t>
            </w:r>
            <w:r>
              <w:rPr>
                <w:rFonts w:hint="eastAsia" w:ascii="宋体" w:hAnsi="宋体" w:cs="宋体"/>
                <w:color w:val="auto"/>
                <w:sz w:val="21"/>
                <w:szCs w:val="21"/>
                <w:highlight w:val="none"/>
                <w:lang w:val="en-US" w:eastAsia="zh-CN"/>
              </w:rPr>
              <w:t>合理，对项目人防门运行期间可能发生紧急事项做出应急措施的表述，</w:t>
            </w:r>
            <w:r>
              <w:rPr>
                <w:rFonts w:hint="eastAsia" w:ascii="宋体" w:hAnsi="宋体" w:cs="宋体"/>
                <w:color w:val="auto"/>
                <w:sz w:val="21"/>
                <w:szCs w:val="21"/>
                <w:highlight w:val="none"/>
                <w:lang w:val="en-US" w:eastAsia="zh-CN" w:bidi="ar"/>
              </w:rPr>
              <w:t>对重点、难点问题有合理化建议解决方案完整、经济、安全、切实可行、措施得力，</w:t>
            </w:r>
            <w:r>
              <w:rPr>
                <w:rFonts w:hint="eastAsia" w:ascii="宋体" w:hAnsi="宋体" w:cs="宋体"/>
                <w:color w:val="auto"/>
                <w:sz w:val="21"/>
                <w:szCs w:val="24"/>
                <w:highlight w:val="none"/>
                <w:lang w:val="en-US" w:eastAsia="zh-CN"/>
              </w:rPr>
              <w:t>评委综合评分，优秀的得</w:t>
            </w:r>
            <w:r>
              <w:rPr>
                <w:rFonts w:hint="eastAsia" w:ascii="宋体" w:hAnsi="宋体" w:cs="宋体"/>
                <w:color w:val="auto"/>
                <w:sz w:val="21"/>
                <w:szCs w:val="21"/>
                <w:highlight w:val="none"/>
                <w:lang w:val="en-US" w:eastAsia="zh-CN" w:bidi="ar"/>
              </w:rPr>
              <w:t>10-7分；一般的得6-3分，较差的得基础分2分，未提供不得分。</w:t>
            </w:r>
            <w:r>
              <w:rPr>
                <w:rFonts w:hint="eastAsia" w:ascii="宋体" w:hAnsi="宋体" w:cs="宋体"/>
                <w:color w:val="auto"/>
                <w:sz w:val="21"/>
                <w:szCs w:val="21"/>
                <w:highlight w:val="none"/>
                <w:lang w:bidi="ar"/>
              </w:rPr>
              <w:t xml:space="preserve">  </w:t>
            </w:r>
            <w:r>
              <w:rPr>
                <w:rFonts w:hint="eastAsia" w:ascii="宋体" w:hAnsi="宋体" w:cs="宋体"/>
                <w:color w:val="auto"/>
                <w:sz w:val="21"/>
                <w:szCs w:val="21"/>
                <w:highlight w:val="none"/>
                <w:lang w:val="en-US" w:eastAsia="zh-CN" w:bidi="ar"/>
              </w:rPr>
              <w:t xml:space="preserve"> </w:t>
            </w:r>
          </w:p>
        </w:tc>
      </w:tr>
    </w:tbl>
    <w:p w14:paraId="0A3B48A0">
      <w:pPr>
        <w:pStyle w:val="37"/>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6D361852">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color w:val="auto"/>
          <w:sz w:val="21"/>
          <w:szCs w:val="24"/>
          <w:highlight w:val="none"/>
        </w:rPr>
        <w:t>本次评审采用技术评分最低价法。评审委员会对通过初步评审的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人的商务及技术文件进行评分，按得分由高到低排序确定前N名。对排名前N名的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人的报价文件进行评审，按照评标价由低到高的顺序推荐3名中标候选人。</w:t>
      </w:r>
    </w:p>
    <w:p w14:paraId="21C01D69">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1.2若参与本项目询比且通过形式评审、响应性评审与资格评审的供应商只有3家，则3家无需进行商务技术文件评审，直接开启第二信封报价文件，按照评标价由低到高的顺序推荐3名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51CEB30">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45925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152FFD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7B34FA4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3AE5AA9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1D5428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10CC277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27AFC7B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02549B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2336;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1、投标登记表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3、唱标记录表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0E7F13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66A0520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64633347">
      <w:pPr>
        <w:spacing w:line="440" w:lineRule="exact"/>
        <w:ind w:firstLine="420"/>
        <w:rPr>
          <w:rFonts w:hint="eastAsia" w:ascii="Times New Roman" w:hAnsi="Times New Roman"/>
          <w:color w:val="auto"/>
          <w:sz w:val="21"/>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F9EE705">
      <w:pPr>
        <w:pStyle w:val="5"/>
        <w:numPr>
          <w:ilvl w:val="0"/>
          <w:numId w:val="0"/>
        </w:numPr>
        <w:spacing w:before="312" w:after="312"/>
        <w:ind w:leftChars="0"/>
        <w:jc w:val="center"/>
        <w:rPr>
          <w:rFonts w:ascii="Times New Roman" w:hAnsi="Times New Roman" w:eastAsia="宋体" w:cs="Times New Roman"/>
          <w:color w:val="auto"/>
          <w:highlight w:val="none"/>
        </w:rPr>
      </w:pPr>
      <w:bookmarkStart w:id="63" w:name="_Toc12363"/>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3"/>
        <w:rPr>
          <w:rFonts w:hint="eastAsia" w:ascii="Times New Roman" w:hAnsi="Times New Roman" w:eastAsia="宋体" w:cs="Times New Roman"/>
          <w:color w:val="auto"/>
          <w:highlight w:val="none"/>
        </w:rPr>
      </w:pPr>
    </w:p>
    <w:p w14:paraId="0E6FDAD6">
      <w:pPr>
        <w:pStyle w:val="33"/>
        <w:rPr>
          <w:rFonts w:hint="eastAsia" w:ascii="Times New Roman" w:hAnsi="Times New Roman" w:eastAsia="宋体" w:cs="Times New Roman"/>
          <w:color w:val="auto"/>
          <w:highlight w:val="none"/>
        </w:rPr>
      </w:pPr>
    </w:p>
    <w:p w14:paraId="58CDC6FF">
      <w:pPr>
        <w:pStyle w:val="33"/>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sectPr>
          <w:headerReference r:id="rId11" w:type="default"/>
          <w:footerReference r:id="rId12" w:type="default"/>
          <w:pgSz w:w="11906" w:h="16838"/>
          <w:pgMar w:top="1440" w:right="1797" w:bottom="1440" w:left="1797" w:header="851" w:footer="992" w:gutter="0"/>
          <w:pgNumType w:fmt="decimal"/>
          <w:cols w:space="425" w:num="1"/>
          <w:docGrid w:type="lines" w:linePitch="312" w:charSpace="0"/>
        </w:sectPr>
      </w:pPr>
      <w:r>
        <w:rPr>
          <w:rFonts w:hint="eastAsia" w:ascii="方正小标宋简体" w:hAnsi="方正小标宋简体" w:eastAsia="方正小标宋简体" w:cs="方正小标宋简体"/>
          <w:bCs/>
          <w:color w:val="auto"/>
          <w:sz w:val="44"/>
          <w:szCs w:val="44"/>
          <w:highlight w:val="none"/>
          <w:lang w:eastAsia="zh-CN"/>
        </w:rPr>
        <w:br w:type="page"/>
      </w:r>
    </w:p>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验收如发生争议，可交由项目所在地具由国家认证的相应检测资质的检验机构对产品进行复检。检测费用约定：乙方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6C6E515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yellow"/>
          <w:lang w:val="en-US" w:eastAsia="zh-CN"/>
        </w:rPr>
        <w:t>10.乙方负责配合甲方的人防工程验收工作，包含提供出具出厂合格证、检测报告及安装完成后的第三方检测报告（涉及到整体人防工程验收所需要的全部人防门的第三方检测报告及资料），保证乙方所承担的施工范围验收合格。</w:t>
      </w:r>
    </w:p>
    <w:p w14:paraId="65D85B99">
      <w:pPr>
        <w:pStyle w:val="3"/>
        <w:rPr>
          <w:rFonts w:hint="eastAsia"/>
          <w:color w:val="auto"/>
          <w:lang w:val="en-US" w:eastAsia="zh-CN"/>
        </w:rPr>
      </w:pP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w:t>
      </w:r>
      <w:bookmarkStart w:id="158" w:name="_GoBack"/>
      <w:bookmarkEnd w:id="158"/>
      <w:r>
        <w:rPr>
          <w:rFonts w:hint="eastAsia" w:ascii="仿宋_GB2312" w:hAnsi="仿宋_GB2312" w:eastAsia="仿宋_GB2312" w:cs="仿宋_GB2312"/>
          <w:b w:val="0"/>
          <w:bCs w:val="0"/>
          <w:color w:val="auto"/>
          <w:sz w:val="28"/>
          <w:szCs w:val="28"/>
          <w:highlight w:val="none"/>
        </w:rPr>
        <w:t>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4.合同标的中若有进口产品，则乙方必须提供原产地证明、单机产品序列号、原生产厂商质量保证书、报关单等证明材料。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3DA0D71F">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yellow"/>
          <w:lang w:val="en-US" w:eastAsia="zh-CN"/>
        </w:rPr>
        <w:t>1.门框到货安装结束经甲方指定签收人验收合格并签字后，付至合同价款的30%；门扇到货安装结束经甲方指定签收人验收合格并签字后，付至已完工程价款的70%；人防工程整体验收合格后付至已完工程价款的97%；剩余3%作为质保金，在缺陷责任期后无质量问题一次性无息支付。</w:t>
      </w:r>
    </w:p>
    <w:p w14:paraId="78E1EFE1">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2.履约保证金在合同履行完成无违约行为并经甲方认定同意后28天内无息退还</w:t>
      </w:r>
      <w:r>
        <w:rPr>
          <w:rFonts w:hint="eastAsia" w:ascii="仿宋_GB2312" w:hAnsi="仿宋_GB2312" w:eastAsia="仿宋_GB2312" w:cs="仿宋_GB2312"/>
          <w:color w:val="auto"/>
          <w:sz w:val="28"/>
          <w:szCs w:val="28"/>
          <w:highlight w:val="none"/>
        </w:rPr>
        <w:t>。</w:t>
      </w:r>
    </w:p>
    <w:p w14:paraId="3FBDC6E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1EA9B6C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4.乙方应当向甲方提供符合甲方财务要求的国家税务局13%增值税专用发票，发票需要做到“三流一致”，也即“货物、劳务及应税服务流”、“资金流”、“发票流”必须都是同一受票方。</w:t>
      </w:r>
    </w:p>
    <w:p w14:paraId="6FF04D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5.双方特别约定：遵循“先开票、后付款”的原则，甲方付款前，乙方应按双方确认的应付金额向甲方提供增值税专用发票，并于发票开具后</w:t>
      </w:r>
      <w:permStart w:id="8" w:edGrp="everyone"/>
      <w:r>
        <w:rPr>
          <w:rFonts w:hint="eastAsia" w:ascii="仿宋_GB2312" w:hAnsi="仿宋_GB2312" w:eastAsia="仿宋_GB2312" w:cs="仿宋_GB2312"/>
          <w:color w:val="auto"/>
          <w:sz w:val="28"/>
          <w:szCs w:val="28"/>
          <w:highlight w:val="none"/>
          <w:u w:val="single"/>
          <w:lang w:val="en-US" w:eastAsia="zh-CN"/>
        </w:rPr>
        <w:t xml:space="preserve"> 7 </w:t>
      </w:r>
      <w:permEnd w:id="8"/>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4F508463">
      <w:pPr>
        <w:wordWrap w:val="0"/>
        <w:spacing w:line="560" w:lineRule="exact"/>
        <w:ind w:firstLine="560" w:firstLineChars="200"/>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6.如甲方出现资金困难，乙方同意给予</w:t>
      </w:r>
      <w:permStart w:id="9" w:edGrp="everyone"/>
      <w:r>
        <w:rPr>
          <w:rFonts w:hint="eastAsia" w:ascii="仿宋_GB2312" w:hAnsi="仿宋_GB2312" w:eastAsia="仿宋_GB2312" w:cs="仿宋_GB2312"/>
          <w:color w:val="auto"/>
          <w:sz w:val="28"/>
          <w:szCs w:val="28"/>
          <w:highlight w:val="none"/>
          <w:u w:val="single"/>
          <w:lang w:val="en-US" w:eastAsia="zh-CN"/>
        </w:rPr>
        <w:t xml:space="preserve">  1  </w:t>
      </w:r>
      <w:permEnd w:id="9"/>
      <w:r>
        <w:rPr>
          <w:rFonts w:hint="eastAsia" w:ascii="仿宋_GB2312" w:hAnsi="仿宋_GB2312" w:eastAsia="仿宋_GB2312" w:cs="仿宋_GB2312"/>
          <w:color w:val="auto"/>
          <w:sz w:val="28"/>
          <w:szCs w:val="28"/>
          <w:highlight w:val="none"/>
          <w:lang w:val="en-US" w:eastAsia="zh-CN"/>
        </w:rPr>
        <w:t>个月的付款宽限期，</w:t>
      </w:r>
      <w:bookmarkStart w:id="64"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4"/>
      <w:r>
        <w:rPr>
          <w:rFonts w:hint="eastAsia" w:ascii="仿宋_GB2312" w:hAnsi="仿宋_GB2312" w:eastAsia="仿宋_GB2312" w:cs="仿宋_GB2312"/>
          <w:color w:val="auto"/>
          <w:sz w:val="28"/>
          <w:szCs w:val="28"/>
          <w:highlight w:val="none"/>
          <w:lang w:val="en-US" w:eastAsia="zh-CN"/>
        </w:rPr>
        <w:t>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有乙方负责。安装质量达不到合格标准，乙方应无条件返工至全部合格，还应按合同总价款的10%向甲方支付违约金。</w:t>
      </w:r>
    </w:p>
    <w:p w14:paraId="50B567DF">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10"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10"/>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color w:val="auto"/>
          <w:highlight w:val="none"/>
          <w:lang w:val="en-US" w:eastAsia="zh-CN"/>
        </w:rPr>
      </w:pPr>
    </w:p>
    <w:p w14:paraId="13E2C6B5">
      <w:pPr>
        <w:pStyle w:val="2"/>
        <w:bidi w:val="0"/>
        <w:rPr>
          <w:rFonts w:hint="eastAsia"/>
          <w:color w:val="auto"/>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1"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2"/>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color w:val="auto"/>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11"/>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2"/>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2"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2"/>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4"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4"/>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6"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6"/>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2"/>
        <w:widowControl w:val="0"/>
        <w:numPr>
          <w:ilvl w:val="0"/>
          <w:numId w:val="0"/>
        </w:numPr>
        <w:spacing w:after="120"/>
        <w:jc w:val="both"/>
        <w:rPr>
          <w:rFonts w:hint="eastAsia"/>
          <w:color w:val="auto"/>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20"/>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20"/>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3714D55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14:paraId="328B4BB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ermStart w:id="18" w:edGrp="everyone"/>
    </w:p>
    <w:p w14:paraId="3D58C03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4C45271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0AF30D25">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default"/>
          <w:color w:val="auto"/>
          <w:highlight w:val="none"/>
          <w:lang w:val="en-US" w:eastAsia="zh-CN"/>
        </w:rPr>
      </w:pPr>
      <w:r>
        <w:rPr>
          <w:rFonts w:hint="eastAsia"/>
          <w:color w:val="auto"/>
          <w:highlight w:val="none"/>
          <w:lang w:val="en-US" w:eastAsia="zh-CN"/>
        </w:rPr>
        <w:t xml:space="preserve">     </w:t>
      </w:r>
    </w:p>
    <w:permEnd w:id="18"/>
    <w:p w14:paraId="61702EFC">
      <w:pPr>
        <w:rPr>
          <w:color w:val="auto"/>
        </w:rPr>
      </w:pPr>
    </w:p>
    <w:p w14:paraId="1A2DB473">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val="en-US" w:eastAsia="zh-CN"/>
        </w:rPr>
      </w:pPr>
    </w:p>
    <w:p w14:paraId="44C7AAEA">
      <w:pPr>
        <w:pStyle w:val="11"/>
        <w:bidi w:val="0"/>
        <w:rPr>
          <w:rFonts w:hint="eastAsia"/>
          <w:color w:val="auto"/>
          <w:highlight w:val="none"/>
        </w:rPr>
      </w:pPr>
    </w:p>
    <w:p w14:paraId="2A3C4900">
      <w:pPr>
        <w:pStyle w:val="33"/>
        <w:jc w:val="center"/>
        <w:rPr>
          <w:rFonts w:hint="eastAsia" w:ascii="宋体" w:hAnsi="宋体" w:eastAsia="宋体" w:cs="宋体"/>
          <w:b/>
          <w:bCs/>
          <w:color w:val="auto"/>
          <w:sz w:val="28"/>
          <w:szCs w:val="28"/>
          <w:highlight w:val="none"/>
          <w:lang w:val="en-US" w:eastAsia="zh-CN"/>
        </w:rPr>
      </w:pPr>
    </w:p>
    <w:p w14:paraId="1759D57E">
      <w:pPr>
        <w:pStyle w:val="33"/>
        <w:jc w:val="center"/>
        <w:rPr>
          <w:rFonts w:hint="eastAsia" w:ascii="宋体" w:hAnsi="宋体" w:eastAsia="宋体" w:cs="宋体"/>
          <w:b/>
          <w:bCs/>
          <w:color w:val="auto"/>
          <w:sz w:val="28"/>
          <w:szCs w:val="28"/>
          <w:highlight w:val="none"/>
          <w:lang w:val="en-US" w:eastAsia="zh-CN"/>
        </w:rPr>
      </w:pPr>
    </w:p>
    <w:p w14:paraId="4C149A90">
      <w:pPr>
        <w:pStyle w:val="33"/>
        <w:jc w:val="center"/>
        <w:rPr>
          <w:rFonts w:hint="eastAsia" w:ascii="宋体" w:hAnsi="宋体" w:eastAsia="宋体" w:cs="宋体"/>
          <w:b/>
          <w:bCs/>
          <w:color w:val="auto"/>
          <w:sz w:val="28"/>
          <w:szCs w:val="28"/>
          <w:highlight w:val="none"/>
          <w:lang w:val="en-US" w:eastAsia="zh-CN"/>
        </w:rPr>
      </w:pPr>
    </w:p>
    <w:p w14:paraId="1CB452E7">
      <w:pPr>
        <w:pStyle w:val="33"/>
        <w:jc w:val="center"/>
        <w:rPr>
          <w:rFonts w:hint="eastAsia" w:ascii="宋体" w:hAnsi="宋体" w:eastAsia="宋体" w:cs="宋体"/>
          <w:b/>
          <w:bCs/>
          <w:color w:val="auto"/>
          <w:sz w:val="28"/>
          <w:szCs w:val="28"/>
          <w:highlight w:val="none"/>
          <w:lang w:val="en-US" w:eastAsia="zh-CN"/>
        </w:rPr>
      </w:pPr>
    </w:p>
    <w:p w14:paraId="563846A0">
      <w:pPr>
        <w:pStyle w:val="33"/>
        <w:jc w:val="center"/>
        <w:rPr>
          <w:rFonts w:hint="eastAsia" w:ascii="宋体" w:hAnsi="宋体" w:eastAsia="宋体" w:cs="宋体"/>
          <w:b/>
          <w:bCs/>
          <w:color w:val="auto"/>
          <w:sz w:val="28"/>
          <w:szCs w:val="28"/>
          <w:highlight w:val="none"/>
          <w:lang w:val="en-US" w:eastAsia="zh-CN"/>
        </w:rPr>
      </w:pPr>
    </w:p>
    <w:p w14:paraId="22ED5897">
      <w:pPr>
        <w:pStyle w:val="33"/>
        <w:jc w:val="center"/>
        <w:rPr>
          <w:rFonts w:hint="eastAsia" w:ascii="宋体" w:hAnsi="宋体" w:eastAsia="宋体" w:cs="宋体"/>
          <w:b/>
          <w:bCs/>
          <w:color w:val="auto"/>
          <w:sz w:val="28"/>
          <w:szCs w:val="28"/>
          <w:highlight w:val="none"/>
          <w:lang w:val="en-US" w:eastAsia="zh-CN"/>
        </w:rPr>
      </w:pPr>
    </w:p>
    <w:p w14:paraId="118749DD">
      <w:pPr>
        <w:pStyle w:val="33"/>
        <w:jc w:val="center"/>
        <w:rPr>
          <w:rFonts w:hint="eastAsia" w:ascii="宋体" w:hAnsi="宋体" w:eastAsia="宋体" w:cs="宋体"/>
          <w:b/>
          <w:bCs/>
          <w:color w:val="auto"/>
          <w:sz w:val="28"/>
          <w:szCs w:val="28"/>
          <w:highlight w:val="none"/>
          <w:lang w:val="en-US" w:eastAsia="zh-CN"/>
        </w:rPr>
      </w:pPr>
    </w:p>
    <w:p w14:paraId="608E972F">
      <w:pPr>
        <w:pStyle w:val="33"/>
        <w:jc w:val="center"/>
        <w:rPr>
          <w:rFonts w:hint="eastAsia" w:ascii="宋体" w:hAnsi="宋体" w:eastAsia="宋体" w:cs="宋体"/>
          <w:b/>
          <w:bCs/>
          <w:color w:val="auto"/>
          <w:sz w:val="28"/>
          <w:szCs w:val="28"/>
          <w:highlight w:val="none"/>
          <w:lang w:val="en-US" w:eastAsia="zh-CN"/>
        </w:rPr>
      </w:pPr>
    </w:p>
    <w:p w14:paraId="3F970EF5">
      <w:pPr>
        <w:pStyle w:val="33"/>
        <w:jc w:val="center"/>
        <w:rPr>
          <w:rFonts w:hint="eastAsia" w:ascii="宋体" w:hAnsi="宋体" w:eastAsia="宋体" w:cs="宋体"/>
          <w:b/>
          <w:bCs/>
          <w:color w:val="auto"/>
          <w:sz w:val="28"/>
          <w:szCs w:val="28"/>
          <w:highlight w:val="none"/>
          <w:lang w:val="en-US" w:eastAsia="zh-CN"/>
        </w:rPr>
      </w:pPr>
    </w:p>
    <w:p w14:paraId="57B018B5">
      <w:pPr>
        <w:pStyle w:val="33"/>
        <w:jc w:val="center"/>
        <w:rPr>
          <w:rFonts w:hint="eastAsia" w:ascii="宋体" w:hAnsi="宋体" w:eastAsia="宋体" w:cs="宋体"/>
          <w:b/>
          <w:bCs/>
          <w:color w:val="auto"/>
          <w:sz w:val="28"/>
          <w:szCs w:val="28"/>
          <w:highlight w:val="none"/>
          <w:lang w:val="en-US" w:eastAsia="zh-CN"/>
        </w:rPr>
      </w:pPr>
    </w:p>
    <w:p w14:paraId="65A8F7E8">
      <w:pPr>
        <w:pStyle w:val="33"/>
        <w:jc w:val="center"/>
        <w:rPr>
          <w:rFonts w:hint="eastAsia" w:ascii="宋体" w:hAnsi="宋体" w:eastAsia="宋体" w:cs="宋体"/>
          <w:b/>
          <w:bCs/>
          <w:color w:val="auto"/>
          <w:sz w:val="28"/>
          <w:szCs w:val="28"/>
          <w:highlight w:val="none"/>
          <w:lang w:val="en-US" w:eastAsia="zh-CN"/>
        </w:rPr>
      </w:pPr>
    </w:p>
    <w:p w14:paraId="0E8C267E">
      <w:pPr>
        <w:pStyle w:val="33"/>
        <w:jc w:val="center"/>
        <w:rPr>
          <w:rFonts w:hint="eastAsia" w:ascii="宋体" w:hAnsi="宋体" w:eastAsia="宋体" w:cs="宋体"/>
          <w:b/>
          <w:bCs/>
          <w:color w:val="auto"/>
          <w:sz w:val="28"/>
          <w:szCs w:val="28"/>
          <w:highlight w:val="none"/>
          <w:lang w:val="en-US" w:eastAsia="zh-CN"/>
        </w:rPr>
      </w:pPr>
    </w:p>
    <w:p w14:paraId="297C38F8">
      <w:pPr>
        <w:pStyle w:val="5"/>
        <w:numPr>
          <w:ilvl w:val="255"/>
          <w:numId w:val="0"/>
        </w:numPr>
        <w:spacing w:before="312" w:after="312"/>
        <w:ind w:left="402"/>
        <w:rPr>
          <w:rFonts w:ascii="Times New Roman" w:hAnsi="Times New Roman" w:eastAsia="宋体" w:cs="Times New Roman"/>
          <w:color w:val="auto"/>
          <w:highlight w:val="none"/>
        </w:rPr>
      </w:pPr>
      <w:bookmarkStart w:id="65" w:name="_Toc25604"/>
      <w:r>
        <w:rPr>
          <w:rFonts w:hint="eastAsia" w:ascii="Times New Roman" w:hAnsi="Times New Roman" w:eastAsia="宋体" w:cs="Times New Roman"/>
          <w:color w:val="auto"/>
          <w:highlight w:val="none"/>
          <w:lang w:val="en-US" w:eastAsia="zh-CN"/>
        </w:rPr>
        <w:t xml:space="preserve">第五章 </w:t>
      </w:r>
      <w:bookmarkStart w:id="66" w:name="_Toc25485"/>
      <w:bookmarkStart w:id="67" w:name="_Toc31285"/>
      <w:r>
        <w:rPr>
          <w:rFonts w:hint="eastAsia" w:ascii="Times New Roman" w:hAnsi="Times New Roman" w:eastAsia="宋体" w:cs="Times New Roman"/>
          <w:color w:val="auto"/>
          <w:highlight w:val="none"/>
          <w:lang w:val="en-US" w:eastAsia="zh-CN"/>
        </w:rPr>
        <w:t>采购需求及清单</w:t>
      </w:r>
      <w:bookmarkEnd w:id="65"/>
      <w:bookmarkEnd w:id="66"/>
      <w:bookmarkEnd w:id="67"/>
    </w:p>
    <w:p w14:paraId="4FA5350D">
      <w:pPr>
        <w:pStyle w:val="19"/>
        <w:numPr>
          <w:ilvl w:val="0"/>
          <w:numId w:val="0"/>
        </w:numPr>
        <w:jc w:val="both"/>
        <w:rPr>
          <w:rFonts w:hint="eastAsia" w:ascii="宋体" w:hAnsi="宋体" w:cs="宋体"/>
          <w:b/>
          <w:color w:val="auto"/>
          <w:sz w:val="21"/>
          <w:szCs w:val="21"/>
          <w:highlight w:val="none"/>
        </w:rPr>
      </w:pPr>
    </w:p>
    <w:p w14:paraId="45C5A6E3">
      <w:pPr>
        <w:pStyle w:val="19"/>
        <w:numPr>
          <w:ilvl w:val="0"/>
          <w:numId w:val="3"/>
        </w:numPr>
        <w:ind w:firstLine="0" w:firstLineChars="0"/>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AA64ED5">
      <w:pPr>
        <w:pStyle w:val="2"/>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保险、卸货叉车费（如有）、人工费、卸车费、利润、税费等相关费用。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标的物第三方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none"/>
          <w:lang w:val="en-US" w:eastAsia="zh-CN"/>
        </w:rPr>
        <w:t>标的物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供货进度应满足采购人工程进度分批次实施的安排和要求，中标人应充分理解并全力配合采购人的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6.中标人对提供的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材料质量问题，将视作违约，中标人须赔偿由此造成返工的全部工程建设费用及其他一切损失，同时由采购人追究中标人的违约责任，情节严重的，依法追究相关责任。</w:t>
      </w: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5898F86C">
      <w:pPr>
        <w:bidi w:val="0"/>
        <w:rPr>
          <w:rFonts w:hint="eastAsia"/>
          <w:color w:val="auto"/>
          <w:highlight w:val="none"/>
          <w:lang w:val="en-US" w:eastAsia="zh-CN"/>
        </w:rPr>
      </w:pPr>
    </w:p>
    <w:p w14:paraId="32051DD8">
      <w:pPr>
        <w:bidi w:val="0"/>
        <w:rPr>
          <w:rFonts w:hint="eastAsia"/>
          <w:color w:val="auto"/>
          <w:highlight w:val="none"/>
          <w:lang w:val="en-US" w:eastAsia="zh-CN"/>
        </w:rPr>
      </w:pPr>
    </w:p>
    <w:p w14:paraId="32999A66">
      <w:pPr>
        <w:bidi w:val="0"/>
        <w:rPr>
          <w:rFonts w:hint="eastAsia"/>
          <w:color w:val="auto"/>
          <w:highlight w:val="none"/>
          <w:lang w:val="en-US" w:eastAsia="zh-CN"/>
        </w:rPr>
      </w:pPr>
    </w:p>
    <w:p w14:paraId="7A209A64">
      <w:pPr>
        <w:rPr>
          <w:rFonts w:hint="eastAsia"/>
          <w:color w:val="auto"/>
          <w:highlight w:val="none"/>
          <w:lang w:val="en-US" w:eastAsia="zh-CN"/>
        </w:rPr>
      </w:pPr>
    </w:p>
    <w:p w14:paraId="79600E89">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8" w:name="_Toc4540"/>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8"/>
    </w:p>
    <w:p w14:paraId="09D6E9D9">
      <w:pPr>
        <w:pStyle w:val="7"/>
        <w:rPr>
          <w:rFonts w:hint="eastAsia" w:ascii="方正小标宋简体" w:hAnsi="方正小标宋简体" w:eastAsia="方正小标宋简体" w:cs="方正小标宋简体"/>
          <w:color w:val="auto"/>
          <w:kern w:val="2"/>
          <w:sz w:val="44"/>
          <w:szCs w:val="44"/>
          <w:highlight w:val="none"/>
          <w:u w:val="single"/>
        </w:rPr>
      </w:pPr>
      <w:bookmarkStart w:id="69"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2"/>
        <w:rPr>
          <w:rFonts w:hint="eastAsia" w:ascii="方正小标宋简体" w:hAnsi="方正小标宋简体" w:eastAsia="方正小标宋简体" w:cs="方正小标宋简体"/>
          <w:color w:val="auto"/>
          <w:kern w:val="2"/>
          <w:sz w:val="44"/>
          <w:szCs w:val="44"/>
          <w:highlight w:val="none"/>
          <w:u w:val="single"/>
        </w:rPr>
      </w:pPr>
    </w:p>
    <w:p w14:paraId="3514E7CF">
      <w:pPr>
        <w:pStyle w:val="3"/>
        <w:rPr>
          <w:rFonts w:hint="eastAsia" w:ascii="方正小标宋简体" w:hAnsi="方正小标宋简体" w:eastAsia="方正小标宋简体" w:cs="方正小标宋简体"/>
          <w:color w:val="auto"/>
          <w:kern w:val="2"/>
          <w:sz w:val="44"/>
          <w:szCs w:val="44"/>
          <w:highlight w:val="none"/>
          <w:u w:val="single"/>
        </w:rPr>
      </w:pPr>
    </w:p>
    <w:p w14:paraId="367D7D36">
      <w:pPr>
        <w:pStyle w:val="4"/>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2"/>
        <w:rPr>
          <w:rFonts w:hint="eastAsia" w:ascii="方正小标宋简体" w:hAnsi="方正小标宋简体" w:eastAsia="方正小标宋简体" w:cs="方正小标宋简体"/>
          <w:color w:val="auto"/>
          <w:kern w:val="2"/>
          <w:sz w:val="44"/>
          <w:szCs w:val="44"/>
          <w:highlight w:val="none"/>
          <w:u w:val="single"/>
        </w:rPr>
      </w:pPr>
    </w:p>
    <w:p w14:paraId="01B234F1">
      <w:pPr>
        <w:pStyle w:val="3"/>
        <w:rPr>
          <w:rFonts w:hint="eastAsia" w:ascii="方正小标宋简体" w:hAnsi="方正小标宋简体" w:eastAsia="方正小标宋简体" w:cs="方正小标宋简体"/>
          <w:color w:val="auto"/>
          <w:kern w:val="2"/>
          <w:sz w:val="44"/>
          <w:szCs w:val="44"/>
          <w:highlight w:val="none"/>
          <w:u w:val="single"/>
        </w:rPr>
      </w:pPr>
    </w:p>
    <w:p w14:paraId="7646EDF7">
      <w:pPr>
        <w:pStyle w:val="4"/>
        <w:rPr>
          <w:rFonts w:hint="eastAsia" w:ascii="方正小标宋简体" w:hAnsi="方正小标宋简体" w:eastAsia="方正小标宋简体" w:cs="方正小标宋简体"/>
          <w:color w:val="auto"/>
          <w:kern w:val="2"/>
          <w:sz w:val="44"/>
          <w:szCs w:val="44"/>
          <w:highlight w:val="none"/>
          <w:u w:val="single"/>
        </w:rPr>
      </w:pPr>
    </w:p>
    <w:p w14:paraId="7486429C">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678919D1">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6FD6637F">
      <w:pPr>
        <w:jc w:val="center"/>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sz w:val="44"/>
          <w:szCs w:val="44"/>
          <w:highlight w:val="none"/>
          <w:u w:val="none"/>
          <w:lang w:val="en-US" w:eastAsia="zh-CN"/>
        </w:rPr>
        <w:t>合肥市包河区BH202437号地块项目二标段人防门采购及安装项目</w:t>
      </w:r>
    </w:p>
    <w:p w14:paraId="1E6F5305">
      <w:pPr>
        <w:jc w:val="center"/>
        <w:outlineLvl w:val="9"/>
        <w:rPr>
          <w:rFonts w:ascii="Times New Roman" w:hAnsi="Times New Roman" w:eastAsia="黑体" w:cs="Times New Roman"/>
          <w:color w:val="auto"/>
          <w:sz w:val="50"/>
          <w:szCs w:val="50"/>
          <w:highlight w:val="none"/>
        </w:rPr>
      </w:pPr>
    </w:p>
    <w:p w14:paraId="17C23FA6">
      <w:pPr>
        <w:jc w:val="center"/>
        <w:outlineLvl w:val="0"/>
        <w:rPr>
          <w:rFonts w:ascii="Times New Roman" w:hAnsi="Times New Roman" w:eastAsia="黑体" w:cs="Times New Roman"/>
          <w:color w:val="auto"/>
          <w:sz w:val="50"/>
          <w:szCs w:val="50"/>
          <w:highlight w:val="none"/>
        </w:rPr>
      </w:pPr>
      <w:bookmarkStart w:id="70" w:name="_Toc20091"/>
      <w:bookmarkStart w:id="71" w:name="_Toc11988"/>
      <w:bookmarkStart w:id="72" w:name="_Toc25180"/>
      <w:bookmarkStart w:id="73" w:name="_Toc11846"/>
      <w:r>
        <w:rPr>
          <w:rFonts w:ascii="Times New Roman" w:hAnsi="Times New Roman" w:eastAsia="黑体" w:cs="Times New Roman"/>
          <w:color w:val="auto"/>
          <w:sz w:val="50"/>
          <w:szCs w:val="50"/>
          <w:highlight w:val="none"/>
        </w:rPr>
        <w:t>响  应  文  件</w:t>
      </w:r>
      <w:bookmarkEnd w:id="70"/>
      <w:bookmarkEnd w:id="71"/>
      <w:bookmarkEnd w:id="72"/>
      <w:bookmarkEnd w:id="73"/>
    </w:p>
    <w:p w14:paraId="7EEE89EB">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0BB51C71">
      <w:pPr>
        <w:spacing w:line="440" w:lineRule="exact"/>
        <w:rPr>
          <w:rFonts w:ascii="Times New Roman" w:hAnsi="Times New Roman" w:eastAsia="黑体" w:cs="Times New Roman"/>
          <w:color w:val="auto"/>
          <w:sz w:val="32"/>
          <w:szCs w:val="32"/>
          <w:highlight w:val="none"/>
        </w:rPr>
      </w:pPr>
    </w:p>
    <w:p w14:paraId="3F5ED003">
      <w:pPr>
        <w:spacing w:line="440" w:lineRule="exact"/>
        <w:rPr>
          <w:rFonts w:ascii="Times New Roman" w:hAnsi="Times New Roman" w:eastAsia="黑体" w:cs="Times New Roman"/>
          <w:color w:val="auto"/>
          <w:sz w:val="32"/>
          <w:szCs w:val="32"/>
          <w:highlight w:val="none"/>
        </w:rPr>
      </w:pPr>
    </w:p>
    <w:p w14:paraId="07563E1D">
      <w:pPr>
        <w:spacing w:line="440" w:lineRule="exact"/>
        <w:rPr>
          <w:rFonts w:ascii="Times New Roman" w:hAnsi="Times New Roman" w:eastAsia="黑体" w:cs="Times New Roman"/>
          <w:color w:val="auto"/>
          <w:sz w:val="20"/>
          <w:szCs w:val="20"/>
          <w:highlight w:val="none"/>
        </w:rPr>
      </w:pPr>
    </w:p>
    <w:p w14:paraId="63107C88">
      <w:pPr>
        <w:spacing w:line="440" w:lineRule="exact"/>
        <w:rPr>
          <w:rFonts w:ascii="Times New Roman" w:hAnsi="Times New Roman" w:eastAsia="黑体" w:cs="Times New Roman"/>
          <w:color w:val="auto"/>
          <w:sz w:val="20"/>
          <w:szCs w:val="20"/>
          <w:highlight w:val="none"/>
        </w:rPr>
      </w:pPr>
    </w:p>
    <w:p w14:paraId="2C576B10">
      <w:pPr>
        <w:pStyle w:val="20"/>
        <w:rPr>
          <w:rFonts w:ascii="Times New Roman" w:hAnsi="Times New Roman" w:eastAsia="黑体" w:cs="Times New Roman"/>
          <w:color w:val="auto"/>
          <w:sz w:val="20"/>
          <w:szCs w:val="20"/>
          <w:highlight w:val="none"/>
        </w:rPr>
      </w:pPr>
    </w:p>
    <w:p w14:paraId="7183F2A9">
      <w:pPr>
        <w:rPr>
          <w:rFonts w:ascii="Times New Roman" w:hAnsi="Times New Roman" w:eastAsia="黑体" w:cs="Times New Roman"/>
          <w:color w:val="auto"/>
          <w:sz w:val="20"/>
          <w:szCs w:val="20"/>
          <w:highlight w:val="none"/>
        </w:rPr>
      </w:pPr>
    </w:p>
    <w:p w14:paraId="581DA5AD">
      <w:pPr>
        <w:pStyle w:val="20"/>
        <w:rPr>
          <w:rFonts w:ascii="Times New Roman" w:hAnsi="Times New Roman" w:eastAsia="黑体" w:cs="Times New Roman"/>
          <w:color w:val="auto"/>
          <w:sz w:val="20"/>
          <w:szCs w:val="20"/>
          <w:highlight w:val="none"/>
        </w:rPr>
      </w:pPr>
    </w:p>
    <w:p w14:paraId="06F7909F">
      <w:pPr>
        <w:rPr>
          <w:rFonts w:ascii="Times New Roman" w:hAnsi="Times New Roman" w:eastAsia="黑体" w:cs="Times New Roman"/>
          <w:color w:val="auto"/>
          <w:sz w:val="20"/>
          <w:szCs w:val="20"/>
          <w:highlight w:val="none"/>
        </w:rPr>
      </w:pPr>
    </w:p>
    <w:p w14:paraId="6D22971E">
      <w:pPr>
        <w:spacing w:line="440" w:lineRule="exact"/>
        <w:rPr>
          <w:rFonts w:ascii="Times New Roman" w:hAnsi="Times New Roman" w:eastAsia="黑体" w:cs="Times New Roman"/>
          <w:color w:val="auto"/>
          <w:sz w:val="20"/>
          <w:szCs w:val="20"/>
          <w:highlight w:val="none"/>
        </w:rPr>
      </w:pPr>
    </w:p>
    <w:p w14:paraId="5CF58BFE">
      <w:pPr>
        <w:spacing w:line="440" w:lineRule="exact"/>
        <w:rPr>
          <w:rFonts w:ascii="Times New Roman" w:hAnsi="Times New Roman" w:eastAsia="黑体" w:cs="Times New Roman"/>
          <w:color w:val="auto"/>
          <w:sz w:val="20"/>
          <w:szCs w:val="20"/>
          <w:highlight w:val="none"/>
        </w:rPr>
      </w:pPr>
    </w:p>
    <w:p w14:paraId="434E8257">
      <w:pPr>
        <w:spacing w:line="440" w:lineRule="exact"/>
        <w:rPr>
          <w:rFonts w:ascii="Times New Roman" w:hAnsi="Times New Roman" w:eastAsia="黑体" w:cs="Times New Roman"/>
          <w:color w:val="auto"/>
          <w:sz w:val="20"/>
          <w:szCs w:val="20"/>
          <w:highlight w:val="none"/>
        </w:rPr>
      </w:pPr>
    </w:p>
    <w:p w14:paraId="0E459BCF">
      <w:pPr>
        <w:spacing w:line="440" w:lineRule="exact"/>
        <w:rPr>
          <w:rFonts w:ascii="Times New Roman" w:hAnsi="Times New Roman" w:eastAsia="黑体" w:cs="Times New Roman"/>
          <w:color w:val="auto"/>
          <w:sz w:val="20"/>
          <w:szCs w:val="20"/>
          <w:highlight w:val="none"/>
        </w:rPr>
      </w:pPr>
    </w:p>
    <w:p w14:paraId="4D8CEC4F">
      <w:pPr>
        <w:spacing w:line="440" w:lineRule="exact"/>
        <w:jc w:val="center"/>
        <w:rPr>
          <w:rFonts w:ascii="Times New Roman" w:hAnsi="Times New Roman" w:eastAsia="黑体" w:cs="Times New Roman"/>
          <w:color w:val="auto"/>
          <w:sz w:val="28"/>
          <w:szCs w:val="28"/>
          <w:highlight w:val="none"/>
        </w:rPr>
      </w:pPr>
      <w:bookmarkStart w:id="74" w:name="_Toc25232_WPSOffice_Level2"/>
      <w:bookmarkStart w:id="75" w:name="_Toc5520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74"/>
      <w:bookmarkEnd w:id="75"/>
      <w:r>
        <w:rPr>
          <w:rFonts w:ascii="Times New Roman" w:hAnsi="Times New Roman" w:eastAsia="黑体" w:cs="Times New Roman"/>
          <w:color w:val="auto"/>
          <w:sz w:val="28"/>
          <w:szCs w:val="28"/>
          <w:highlight w:val="none"/>
          <w:u w:val="single"/>
        </w:rPr>
        <w:t xml:space="preserve"> </w:t>
      </w:r>
    </w:p>
    <w:p w14:paraId="6B5FC1ED">
      <w:pPr>
        <w:spacing w:line="440" w:lineRule="exact"/>
        <w:ind w:firstLine="2158" w:firstLineChars="771"/>
        <w:rPr>
          <w:rFonts w:ascii="Times New Roman" w:hAnsi="Times New Roman" w:eastAsia="黑体" w:cs="Times New Roman"/>
          <w:color w:val="auto"/>
          <w:sz w:val="28"/>
          <w:szCs w:val="28"/>
          <w:highlight w:val="none"/>
        </w:rPr>
      </w:pPr>
    </w:p>
    <w:p w14:paraId="0FF8B430">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76" w:name="_Toc20076_WPSOffice_Level2"/>
      <w:bookmarkStart w:id="77" w:name="_Toc31577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76"/>
      <w:bookmarkEnd w:id="77"/>
    </w:p>
    <w:p w14:paraId="038866BC">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5C2FEE3B">
      <w:pPr>
        <w:pStyle w:val="5"/>
        <w:numPr>
          <w:ilvl w:val="0"/>
          <w:numId w:val="0"/>
        </w:numPr>
        <w:rPr>
          <w:rFonts w:hint="eastAsia" w:ascii="黑体" w:hAnsi="黑体" w:eastAsia="黑体" w:cs="黑体"/>
          <w:b/>
          <w:bCs/>
          <w:color w:val="auto"/>
          <w:sz w:val="28"/>
          <w:szCs w:val="28"/>
          <w:highlight w:val="none"/>
        </w:rPr>
      </w:pPr>
      <w:bookmarkStart w:id="78" w:name="_Toc1488"/>
      <w:bookmarkStart w:id="79" w:name="_Toc1219"/>
      <w:bookmarkStart w:id="80" w:name="_Toc888"/>
      <w:bookmarkStart w:id="81" w:name="_Toc21704"/>
      <w:r>
        <w:rPr>
          <w:rFonts w:hint="eastAsia" w:ascii="黑体" w:hAnsi="黑体" w:eastAsia="黑体" w:cs="黑体"/>
          <w:b/>
          <w:bCs/>
          <w:color w:val="auto"/>
          <w:sz w:val="28"/>
          <w:szCs w:val="28"/>
          <w:highlight w:val="none"/>
        </w:rPr>
        <w:t>一、响应函（不含报价）</w:t>
      </w:r>
      <w:bookmarkEnd w:id="69"/>
      <w:bookmarkEnd w:id="78"/>
      <w:bookmarkEnd w:id="79"/>
      <w:bookmarkEnd w:id="80"/>
      <w:bookmarkEnd w:id="81"/>
    </w:p>
    <w:p w14:paraId="49B3464C">
      <w:pPr>
        <w:pStyle w:val="2"/>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7D3E80B2">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合肥市包河区BH202437号地块项目二标段人防门采购及安装项目</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7E861916">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DED744C">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5E69595E">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3.材料质量：响应采购文件要求；交货期：响应采购文件要求。</w:t>
      </w:r>
    </w:p>
    <w:p w14:paraId="42E57F11">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1B113C16">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5D6A18F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3E593700">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6FDC826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0F3A91E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67CCE1D2">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我方在此声明，所递交的投标文件及有关资料内容完整、真实和准确，符合资格审查条件（信誉最低要求），且不存在第三章“评审办法”中评审办法前附表规定的任何一种情形。</w:t>
      </w:r>
    </w:p>
    <w:p w14:paraId="67C52A9E">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262B73D5">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014D3567">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4771CF22">
      <w:pPr>
        <w:pStyle w:val="3"/>
        <w:spacing w:beforeLines="0" w:afterLines="0"/>
        <w:rPr>
          <w:rFonts w:hint="eastAsia"/>
          <w:color w:val="auto"/>
          <w:sz w:val="18"/>
          <w:szCs w:val="24"/>
          <w:highlight w:val="none"/>
        </w:rPr>
      </w:pPr>
    </w:p>
    <w:p w14:paraId="4368A36F">
      <w:pPr>
        <w:pStyle w:val="4"/>
        <w:spacing w:beforeLines="0" w:afterLines="0"/>
        <w:rPr>
          <w:rFonts w:hint="eastAsia" w:eastAsia="宋体"/>
          <w:color w:val="auto"/>
          <w:sz w:val="21"/>
          <w:szCs w:val="21"/>
          <w:highlight w:val="none"/>
        </w:rPr>
      </w:pPr>
    </w:p>
    <w:p w14:paraId="24B7FA17">
      <w:pPr>
        <w:rPr>
          <w:rFonts w:hint="eastAsia"/>
          <w:color w:val="auto"/>
          <w:highlight w:val="none"/>
        </w:rPr>
      </w:pPr>
    </w:p>
    <w:p w14:paraId="76B08196">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82" w:name="_Hlk122530524"/>
      <w:r>
        <w:rPr>
          <w:rFonts w:hint="eastAsia" w:ascii="宋体" w:hAnsi="宋体" w:cs="宋体"/>
          <w:color w:val="auto"/>
          <w:sz w:val="24"/>
          <w:szCs w:val="24"/>
          <w:highlight w:val="none"/>
          <w:u w:val="single"/>
        </w:rPr>
        <w:t xml:space="preserve">                         </w:t>
      </w:r>
      <w:bookmarkEnd w:id="82"/>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7CB2BE99">
      <w:pPr>
        <w:pStyle w:val="2"/>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49877707">
      <w:pPr>
        <w:pStyle w:val="2"/>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B989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E41CAC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4CC4C7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50F719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9D072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7518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962F9D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9C0AB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32EFE2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8FF9B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20E2D0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D078A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9135F39">
      <w:pPr>
        <w:pStyle w:val="3"/>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6C554DC4">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6E8CC0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E3B24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0C53FF84">
      <w:pPr>
        <w:pStyle w:val="5"/>
        <w:numPr>
          <w:ilvl w:val="0"/>
          <w:numId w:val="0"/>
        </w:numPr>
        <w:rPr>
          <w:rFonts w:hint="default" w:ascii="黑体" w:hAnsi="黑体" w:eastAsia="黑体" w:cs="黑体"/>
          <w:b w:val="0"/>
          <w:bCs w:val="0"/>
          <w:color w:val="auto"/>
          <w:sz w:val="28"/>
          <w:szCs w:val="28"/>
          <w:highlight w:val="none"/>
        </w:rPr>
      </w:pPr>
      <w:bookmarkStart w:id="83" w:name="_Toc13157"/>
      <w:bookmarkStart w:id="84" w:name="_Toc23378"/>
      <w:bookmarkStart w:id="85" w:name="_Toc21398"/>
      <w:bookmarkStart w:id="86" w:name="_Toc16965"/>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83"/>
      <w:bookmarkEnd w:id="84"/>
      <w:bookmarkEnd w:id="85"/>
      <w:bookmarkEnd w:id="86"/>
    </w:p>
    <w:p w14:paraId="473B040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951ECB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56379D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12F7A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E10DB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153063B">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C412A0E">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66F97646">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3493ACC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合肥市包河区BH202437号地块项目二标段人防门采购及安装项目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7F2A01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pgSz w:w="11906" w:h="16838"/>
          <w:pgMar w:top="1440" w:right="1797" w:bottom="1440" w:left="1797" w:header="851" w:footer="992" w:gutter="0"/>
          <w:pgNumType w:fmt="decimal"/>
          <w:cols w:space="425" w:num="1"/>
          <w:docGrid w:type="lines" w:linePitch="312" w:charSpace="0"/>
        </w:sectPr>
      </w:pPr>
    </w:p>
    <w:p w14:paraId="0B3B22F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87" w:name="_Toc6917"/>
      <w:bookmarkStart w:id="88" w:name="_Toc19890"/>
      <w:bookmarkStart w:id="89" w:name="_Toc24785"/>
      <w:bookmarkStart w:id="90" w:name="_Toc16245"/>
      <w:bookmarkStart w:id="91" w:name="_Toc28296"/>
      <w:r>
        <w:rPr>
          <w:rFonts w:hint="eastAsia" w:ascii="黑体" w:hAnsi="宋体" w:eastAsia="黑体" w:cs="黑体"/>
          <w:color w:val="auto"/>
          <w:kern w:val="2"/>
          <w:sz w:val="28"/>
          <w:szCs w:val="28"/>
          <w:highlight w:val="none"/>
          <w:lang w:val="en-US" w:eastAsia="zh-CN" w:bidi="ar"/>
        </w:rPr>
        <w:t>三、供应商基本情况</w:t>
      </w:r>
      <w:bookmarkEnd w:id="87"/>
      <w:bookmarkEnd w:id="88"/>
      <w:bookmarkEnd w:id="89"/>
      <w:bookmarkEnd w:id="90"/>
      <w:bookmarkEnd w:id="91"/>
    </w:p>
    <w:p w14:paraId="022512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C55D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33AC924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03E636C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3CBDC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E6537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679D6E5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7D106C9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88DF5D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88323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1567E99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BCB37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1CB7C8B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344284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5210FF8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46173D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2FDAA7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71323E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1A2A31C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674AACD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160C253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9930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B870CD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1E04B1D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9230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F49C06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7DEEA8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DACA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666087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22980F5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408268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689FCB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08F6C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97F1B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3470682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A490517">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3509651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7195BCB2">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D4755FA">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6B768871">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92" w:name="_Toc10871"/>
      <w:bookmarkStart w:id="93" w:name="_Toc31962"/>
      <w:bookmarkStart w:id="94" w:name="_Toc9989"/>
      <w:bookmarkStart w:id="95" w:name="_Toc28901"/>
      <w:bookmarkStart w:id="96" w:name="_Toc12834"/>
      <w:r>
        <w:rPr>
          <w:rFonts w:hint="eastAsia" w:ascii="黑体" w:hAnsi="宋体" w:eastAsia="黑体" w:cs="黑体"/>
          <w:color w:val="auto"/>
          <w:kern w:val="2"/>
          <w:sz w:val="28"/>
          <w:szCs w:val="28"/>
          <w:highlight w:val="none"/>
          <w:lang w:val="en-US" w:eastAsia="zh-CN" w:bidi="ar"/>
        </w:rPr>
        <w:t>四、近年类似业绩情况</w:t>
      </w:r>
      <w:bookmarkEnd w:id="92"/>
      <w:bookmarkEnd w:id="93"/>
      <w:bookmarkEnd w:id="94"/>
      <w:bookmarkEnd w:id="95"/>
      <w:bookmarkEnd w:id="96"/>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01D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F6CC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3A932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E5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43E2C7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B87AA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5C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120F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6D2789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D4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BE32D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05BAE0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15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EF004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73245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91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36A66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2CD962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10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7F76E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E19245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2E64D95">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3ACE65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1C474C20">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2818FFB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027ED5EC">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0FDDF1C1">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4B6BF3F0">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9BB98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3E51120A">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97" w:name="_Toc23165"/>
      <w:bookmarkStart w:id="98" w:name="_Toc27124"/>
      <w:bookmarkStart w:id="99" w:name="_Toc21498"/>
      <w:bookmarkStart w:id="100" w:name="_Toc8922"/>
      <w:bookmarkStart w:id="101" w:name="_Toc29607"/>
      <w:r>
        <w:rPr>
          <w:rFonts w:hint="eastAsia" w:ascii="黑体" w:hAnsi="宋体" w:eastAsia="黑体" w:cs="黑体"/>
          <w:color w:val="auto"/>
          <w:kern w:val="2"/>
          <w:sz w:val="28"/>
          <w:szCs w:val="28"/>
          <w:highlight w:val="none"/>
          <w:lang w:val="en-US" w:eastAsia="zh-CN" w:bidi="ar"/>
        </w:rPr>
        <w:t>五、信誉情况</w:t>
      </w:r>
      <w:bookmarkEnd w:id="97"/>
      <w:bookmarkEnd w:id="98"/>
      <w:bookmarkEnd w:id="99"/>
      <w:bookmarkEnd w:id="100"/>
      <w:bookmarkEnd w:id="101"/>
    </w:p>
    <w:p w14:paraId="33501A2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3D3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60296C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0907B1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392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0ADDC9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341DF29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B4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C52471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28AC82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00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C84A01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default" w:ascii="Times New Roman" w:hAnsi="Times New Roman" w:eastAsia="宋体" w:cs="Times New Roman"/>
                <w:color w:val="auto"/>
                <w:kern w:val="2"/>
                <w:sz w:val="24"/>
                <w:szCs w:val="24"/>
                <w:highlight w:val="none"/>
                <w:lang w:val="en-US" w:eastAsia="zh-CN" w:bidi="ar"/>
              </w:rPr>
              <w:t>http://www.gsxt.gov.cn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33DE1A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E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4C56F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default" w:ascii="Times New Roman" w:hAnsi="Times New Roman" w:eastAsia="宋体" w:cs="Times New Roman"/>
                <w:color w:val="auto"/>
                <w:kern w:val="2"/>
                <w:sz w:val="24"/>
                <w:szCs w:val="24"/>
                <w:highlight w:val="none"/>
                <w:lang w:val="en-US" w:eastAsia="zh-CN" w:bidi="ar"/>
              </w:rPr>
              <w:t>http://www.creditchina.gov.cn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C22AF1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FE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A222B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4E40FFA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FB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6BEE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0DC06DC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3C6FE7C6">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5F6E923E">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808E4C9">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75B93371">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45E69B0">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31EE91A8">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2EAEDAD">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0B0A4F81">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highlight w:val="none"/>
          <w:lang w:val="en-US"/>
        </w:rPr>
      </w:pPr>
      <w:bookmarkStart w:id="102" w:name="_Toc15048"/>
      <w:bookmarkStart w:id="103" w:name="_Toc22047"/>
      <w:bookmarkStart w:id="104" w:name="_Toc22954"/>
      <w:bookmarkStart w:id="105" w:name="_Toc6267"/>
      <w:bookmarkStart w:id="106" w:name="_Toc1569"/>
      <w:r>
        <w:rPr>
          <w:rFonts w:hint="eastAsia" w:ascii="黑体" w:hAnsi="宋体" w:eastAsia="黑体" w:cs="黑体"/>
          <w:color w:val="auto"/>
          <w:kern w:val="2"/>
          <w:sz w:val="28"/>
          <w:szCs w:val="28"/>
          <w:highlight w:val="none"/>
          <w:lang w:val="en-US" w:eastAsia="zh-CN" w:bidi="ar"/>
        </w:rPr>
        <w:t>六、企业实力</w:t>
      </w:r>
      <w:bookmarkEnd w:id="102"/>
      <w:bookmarkEnd w:id="103"/>
      <w:bookmarkEnd w:id="104"/>
      <w:bookmarkEnd w:id="105"/>
    </w:p>
    <w:p w14:paraId="23B09A51">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bCs w:val="0"/>
          <w:color w:val="auto"/>
          <w:kern w:val="0"/>
          <w:sz w:val="21"/>
          <w:szCs w:val="21"/>
          <w:highlight w:val="none"/>
          <w:lang w:val="en-US" w:eastAsia="zh-CN" w:bidi="ar"/>
        </w:rPr>
        <w:t>1</w:t>
      </w:r>
      <w:r>
        <w:rPr>
          <w:rFonts w:hint="eastAsia" w:asciiTheme="minorEastAsia" w:hAnsiTheme="minorEastAsia" w:eastAsiaTheme="minorEastAsia" w:cstheme="minorEastAsia"/>
          <w:b/>
          <w:bCs w:val="0"/>
          <w:color w:val="auto"/>
          <w:kern w:val="0"/>
          <w:sz w:val="21"/>
          <w:szCs w:val="21"/>
          <w:highlight w:val="none"/>
          <w:lang w:bidi="ar"/>
        </w:rPr>
        <w:t>.厂区规模情况</w:t>
      </w:r>
      <w:r>
        <w:rPr>
          <w:rFonts w:hint="eastAsia" w:asciiTheme="minorEastAsia" w:hAnsiTheme="minorEastAsia" w:eastAsiaTheme="minorEastAsia" w:cstheme="minorEastAsia"/>
          <w:b/>
          <w:bCs w:val="0"/>
          <w:color w:val="auto"/>
          <w:kern w:val="0"/>
          <w:sz w:val="21"/>
          <w:szCs w:val="21"/>
          <w:highlight w:val="none"/>
          <w:lang w:val="en-US" w:eastAsia="zh-CN" w:bidi="ar"/>
        </w:rPr>
        <w:t>：</w:t>
      </w:r>
    </w:p>
    <w:p w14:paraId="53E1E6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auto"/>
        <w:ind w:left="0" w:right="0" w:firstLine="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须提供投标产品生产加工厂的相关资料，包括但不限于工厂具体定位（百度地图定位截图）、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w:t>
      </w:r>
    </w:p>
    <w:p w14:paraId="168C85EE">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2</w:t>
      </w:r>
      <w:r>
        <w:rPr>
          <w:rFonts w:hint="eastAsia" w:asciiTheme="minorEastAsia" w:hAnsiTheme="minorEastAsia" w:eastAsiaTheme="minorEastAsia" w:cstheme="minorEastAsia"/>
          <w:b/>
          <w:color w:val="auto"/>
          <w:kern w:val="0"/>
          <w:sz w:val="21"/>
          <w:szCs w:val="21"/>
          <w:highlight w:val="none"/>
          <w:lang w:bidi="ar"/>
        </w:rPr>
        <w:t>.</w:t>
      </w:r>
      <w:r>
        <w:rPr>
          <w:rFonts w:hint="eastAsia" w:ascii="宋体" w:hAnsi="宋体" w:eastAsia="宋体" w:cs="宋体"/>
          <w:b/>
          <w:bCs/>
          <w:color w:val="auto"/>
          <w:kern w:val="0"/>
          <w:sz w:val="21"/>
          <w:szCs w:val="21"/>
          <w:highlight w:val="none"/>
          <w:u w:val="none"/>
          <w:lang w:val="en-US" w:eastAsia="zh-CN" w:bidi="ar"/>
        </w:rPr>
        <w:t>企业获得奖项及荣誉证书</w:t>
      </w:r>
      <w:r>
        <w:rPr>
          <w:rFonts w:hint="eastAsia" w:asciiTheme="minorEastAsia" w:hAnsiTheme="minorEastAsia" w:eastAsiaTheme="minorEastAsia" w:cstheme="minorEastAsia"/>
          <w:b/>
          <w:bCs w:val="0"/>
          <w:color w:val="auto"/>
          <w:kern w:val="0"/>
          <w:sz w:val="21"/>
          <w:szCs w:val="21"/>
          <w:highlight w:val="none"/>
          <w:lang w:eastAsia="zh-CN" w:bidi="ar"/>
        </w:rPr>
        <w:t>：</w:t>
      </w:r>
    </w:p>
    <w:p w14:paraId="2437230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b/>
          <w:bCs w:val="0"/>
          <w:color w:val="auto"/>
          <w:kern w:val="0"/>
          <w:sz w:val="21"/>
          <w:szCs w:val="21"/>
          <w:highlight w:val="none"/>
          <w:lang w:val="en-US" w:eastAsia="zh-CN" w:bidi="ar"/>
        </w:rPr>
        <w:t>3</w:t>
      </w:r>
      <w:r>
        <w:rPr>
          <w:rFonts w:hint="eastAsia" w:asciiTheme="minorEastAsia" w:hAnsiTheme="minorEastAsia" w:eastAsiaTheme="minorEastAsia" w:cstheme="minorEastAsia"/>
          <w:b/>
          <w:bCs w:val="0"/>
          <w:color w:val="auto"/>
          <w:kern w:val="0"/>
          <w:sz w:val="21"/>
          <w:szCs w:val="21"/>
          <w:highlight w:val="none"/>
          <w:lang w:bidi="ar"/>
        </w:rPr>
        <w:t>.人员情况</w:t>
      </w:r>
      <w:r>
        <w:rPr>
          <w:rFonts w:hint="eastAsia" w:asciiTheme="minorEastAsia" w:hAnsiTheme="minorEastAsia" w:cstheme="minorEastAsia"/>
          <w:b/>
          <w:bCs w:val="0"/>
          <w:color w:val="auto"/>
          <w:kern w:val="0"/>
          <w:sz w:val="21"/>
          <w:szCs w:val="21"/>
          <w:highlight w:val="none"/>
          <w:lang w:val="en-US" w:eastAsia="zh-CN" w:bidi="ar"/>
        </w:rPr>
        <w:t>：</w:t>
      </w:r>
    </w:p>
    <w:p w14:paraId="77704387">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573390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28D66702">
      <w:pPr>
        <w:pStyle w:val="2"/>
        <w:rPr>
          <w:rFonts w:hint="eastAsia" w:ascii="黑体" w:hAnsi="宋体" w:eastAsia="黑体" w:cs="黑体"/>
          <w:color w:val="auto"/>
          <w:kern w:val="2"/>
          <w:sz w:val="28"/>
          <w:szCs w:val="28"/>
          <w:highlight w:val="none"/>
          <w:lang w:val="en-US" w:eastAsia="zh-CN" w:bidi="ar"/>
        </w:rPr>
      </w:pPr>
    </w:p>
    <w:p w14:paraId="6FF13152">
      <w:pPr>
        <w:pStyle w:val="3"/>
        <w:rPr>
          <w:rFonts w:hint="eastAsia"/>
          <w:color w:val="auto"/>
          <w:highlight w:val="none"/>
          <w:lang w:val="en-US" w:eastAsia="zh-CN"/>
        </w:rPr>
      </w:pPr>
    </w:p>
    <w:p w14:paraId="5988C88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599B73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E52E40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9B86DC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C5D82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1176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BE264D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D367F7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9ACC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8CE7F">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61F7A5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452E10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2C0FF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B3D964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D4BE2E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B199B6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9B424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84E9C6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3FC4EDE">
      <w:pPr>
        <w:pStyle w:val="2"/>
        <w:rPr>
          <w:rFonts w:hint="eastAsia"/>
          <w:color w:val="auto"/>
          <w:lang w:val="en-US" w:eastAsia="zh-CN"/>
        </w:rPr>
      </w:pPr>
    </w:p>
    <w:p w14:paraId="35CE292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E8ED9C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lang w:val="en-US"/>
        </w:rPr>
      </w:pPr>
      <w:bookmarkStart w:id="107" w:name="_Toc19445"/>
      <w:bookmarkStart w:id="108" w:name="_Toc7906"/>
      <w:bookmarkStart w:id="109" w:name="_Toc22740"/>
      <w:bookmarkStart w:id="110" w:name="_Toc25198"/>
      <w:r>
        <w:rPr>
          <w:rFonts w:hint="eastAsia" w:ascii="黑体" w:hAnsi="宋体" w:eastAsia="黑体" w:cs="黑体"/>
          <w:color w:val="auto"/>
          <w:kern w:val="2"/>
          <w:sz w:val="28"/>
          <w:szCs w:val="28"/>
          <w:highlight w:val="none"/>
          <w:lang w:val="en-US" w:eastAsia="zh-CN" w:bidi="ar"/>
        </w:rPr>
        <w:t>七、</w:t>
      </w:r>
      <w:bookmarkEnd w:id="106"/>
      <w:bookmarkEnd w:id="107"/>
      <w:bookmarkEnd w:id="108"/>
      <w:bookmarkEnd w:id="109"/>
      <w:r>
        <w:rPr>
          <w:rFonts w:hint="eastAsia" w:ascii="黑体" w:hAnsi="宋体" w:eastAsia="黑体" w:cs="黑体"/>
          <w:color w:val="auto"/>
          <w:kern w:val="2"/>
          <w:sz w:val="28"/>
          <w:szCs w:val="28"/>
          <w:highlight w:val="none"/>
          <w:lang w:val="en-US" w:eastAsia="zh-CN" w:bidi="ar"/>
        </w:rPr>
        <w:t>资格能力</w:t>
      </w:r>
      <w:bookmarkEnd w:id="110"/>
    </w:p>
    <w:p w14:paraId="61C9C3CB">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F16A055">
      <w:pPr>
        <w:keepNext w:val="0"/>
        <w:keepLines w:val="0"/>
        <w:widowControl w:val="0"/>
        <w:suppressLineNumbers w:val="0"/>
        <w:spacing w:before="0" w:beforeAutospacing="0" w:after="0" w:afterAutospacing="0"/>
        <w:ind w:left="0" w:right="0"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5198543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A6ACF4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A4995E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C39677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1AEE52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2988E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B8666F">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9A5516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1256764">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6E25C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F46100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037303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03ADC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6AF27A8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4C42973B">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3C45926F">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bookmarkStart w:id="111" w:name="_Toc31378"/>
      <w:bookmarkStart w:id="112" w:name="_Toc7941"/>
    </w:p>
    <w:p w14:paraId="625C0E6D">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bookmarkStart w:id="113" w:name="_Toc28805"/>
      <w:bookmarkStart w:id="114" w:name="_Toc5689"/>
      <w:bookmarkStart w:id="115" w:name="_Toc28286"/>
      <w:r>
        <w:rPr>
          <w:rFonts w:hint="eastAsia" w:ascii="Times New Roman" w:hAnsi="Times New Roman" w:eastAsia="黑体"/>
          <w:color w:val="auto"/>
          <w:sz w:val="28"/>
          <w:szCs w:val="28"/>
          <w:highlight w:val="none"/>
          <w:lang w:val="en-US" w:eastAsia="zh-CN"/>
        </w:rPr>
        <w:t>八</w:t>
      </w:r>
      <w:r>
        <w:rPr>
          <w:rFonts w:hint="eastAsia" w:ascii="Times New Roman" w:hAnsi="Times New Roman" w:eastAsia="黑体"/>
          <w:color w:val="auto"/>
          <w:sz w:val="28"/>
          <w:szCs w:val="28"/>
          <w:highlight w:val="none"/>
        </w:rPr>
        <w:t>、</w:t>
      </w:r>
      <w:bookmarkEnd w:id="111"/>
      <w:bookmarkEnd w:id="113"/>
      <w:bookmarkEnd w:id="114"/>
      <w:r>
        <w:rPr>
          <w:rFonts w:hint="eastAsia" w:ascii="Times New Roman" w:hAnsi="Times New Roman" w:eastAsia="黑体"/>
          <w:color w:val="auto"/>
          <w:sz w:val="28"/>
          <w:szCs w:val="28"/>
          <w:highlight w:val="none"/>
          <w:lang w:val="en-US" w:eastAsia="zh-CN"/>
        </w:rPr>
        <w:t>人防门专项施工方案</w:t>
      </w:r>
      <w:bookmarkEnd w:id="115"/>
    </w:p>
    <w:p w14:paraId="1E84018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16" w:name="_Toc6951"/>
      <w:bookmarkStart w:id="117" w:name="_Toc15543"/>
      <w:bookmarkStart w:id="118" w:name="_Toc3396"/>
      <w:bookmarkStart w:id="119" w:name="_Toc10923"/>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人防门专项施工方案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16"/>
      <w:bookmarkEnd w:id="117"/>
      <w:bookmarkEnd w:id="118"/>
      <w:bookmarkEnd w:id="119"/>
    </w:p>
    <w:p w14:paraId="7819A5B5">
      <w:pPr>
        <w:spacing w:beforeLines="0" w:afterLines="0" w:line="440" w:lineRule="exact"/>
        <w:jc w:val="center"/>
        <w:outlineLvl w:val="0"/>
        <w:rPr>
          <w:rFonts w:hint="eastAsia" w:ascii="Times New Roman" w:hAnsi="Times New Roman" w:eastAsia="黑体"/>
          <w:color w:val="auto"/>
          <w:sz w:val="28"/>
          <w:szCs w:val="28"/>
          <w:highlight w:val="none"/>
        </w:rPr>
      </w:pPr>
    </w:p>
    <w:p w14:paraId="6DC9943D">
      <w:pPr>
        <w:pStyle w:val="2"/>
        <w:rPr>
          <w:rFonts w:hint="eastAsia"/>
          <w:color w:val="auto"/>
          <w:highlight w:val="none"/>
        </w:rPr>
      </w:pPr>
    </w:p>
    <w:p w14:paraId="6BD11B5F">
      <w:pPr>
        <w:spacing w:beforeLines="0" w:afterLines="0" w:line="440" w:lineRule="exact"/>
        <w:jc w:val="center"/>
        <w:outlineLvl w:val="0"/>
        <w:rPr>
          <w:rFonts w:hint="eastAsia" w:ascii="Times New Roman" w:hAnsi="Times New Roman" w:eastAsia="黑体"/>
          <w:color w:val="auto"/>
          <w:sz w:val="28"/>
          <w:szCs w:val="28"/>
          <w:highlight w:val="none"/>
        </w:rPr>
      </w:pPr>
    </w:p>
    <w:bookmarkEnd w:id="112"/>
    <w:p w14:paraId="735BEFF5">
      <w:pPr>
        <w:spacing w:beforeLines="0" w:afterLines="0" w:line="440" w:lineRule="exact"/>
        <w:rPr>
          <w:rFonts w:hint="eastAsia" w:ascii="Times New Roman" w:hAnsi="Times New Roman" w:eastAsia="Times New Roman"/>
          <w:color w:val="auto"/>
          <w:sz w:val="20"/>
          <w:szCs w:val="20"/>
          <w:highlight w:val="none"/>
        </w:rPr>
      </w:pPr>
    </w:p>
    <w:p w14:paraId="039EC7DC">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065E34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BA98B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1836C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C0A85E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9C571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DDCA947">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22D55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611D3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FB8A0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6BF9F7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7667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52E8D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6FDB49D">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20" w:name="_Toc30485"/>
    </w:p>
    <w:p w14:paraId="13EB74B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03EA04B">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21" w:name="_Toc8048"/>
      <w:bookmarkStart w:id="122" w:name="_Toc9218"/>
      <w:bookmarkStart w:id="123" w:name="_Toc28647"/>
      <w:bookmarkStart w:id="124" w:name="_Toc9727"/>
      <w:r>
        <w:rPr>
          <w:rFonts w:hint="eastAsia" w:ascii="Times New Roman" w:hAnsi="Times New Roman" w:eastAsia="黑体" w:cs="Times New Roman"/>
          <w:color w:val="auto"/>
          <w:kern w:val="2"/>
          <w:sz w:val="28"/>
          <w:szCs w:val="28"/>
          <w:highlight w:val="none"/>
          <w:lang w:val="en-US" w:eastAsia="zh-CN" w:bidi="ar"/>
        </w:rPr>
        <w:t>九</w:t>
      </w:r>
      <w:r>
        <w:rPr>
          <w:rFonts w:hint="eastAsia" w:ascii="Times New Roman" w:hAnsi="Times New Roman" w:eastAsia="黑体"/>
          <w:color w:val="auto"/>
          <w:sz w:val="28"/>
          <w:szCs w:val="28"/>
          <w:highlight w:val="none"/>
        </w:rPr>
        <w:t>、</w:t>
      </w:r>
      <w:bookmarkEnd w:id="121"/>
      <w:bookmarkEnd w:id="122"/>
      <w:bookmarkEnd w:id="123"/>
      <w:r>
        <w:rPr>
          <w:rFonts w:hint="eastAsia" w:ascii="Times New Roman" w:hAnsi="Times New Roman" w:eastAsia="黑体"/>
          <w:color w:val="auto"/>
          <w:sz w:val="28"/>
          <w:szCs w:val="28"/>
          <w:highlight w:val="none"/>
          <w:lang w:val="en-US" w:eastAsia="zh-CN"/>
        </w:rPr>
        <w:t>应急保障措施方案</w:t>
      </w:r>
      <w:bookmarkEnd w:id="124"/>
    </w:p>
    <w:p w14:paraId="4FCD267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25" w:name="_Toc7405"/>
      <w:bookmarkStart w:id="126" w:name="_Toc7980"/>
      <w:bookmarkStart w:id="127" w:name="_Toc729"/>
      <w:bookmarkStart w:id="128" w:name="_Toc9931"/>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应急保障措施方案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25"/>
      <w:bookmarkEnd w:id="126"/>
      <w:bookmarkEnd w:id="127"/>
      <w:bookmarkEnd w:id="128"/>
    </w:p>
    <w:p w14:paraId="10E2C7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25346B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02A8B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1994CF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5E115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8C9A0C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2BE65C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9C8BDC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511C08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A94FEF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74060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E86E65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1D4DB5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35671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624A8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FE90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8A9E9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99099D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DD845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F0F211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DD6DE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55BA99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357505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42D10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F17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38F5CB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EF0DC0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37D0E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F1B62B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FA05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E57887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29" w:name="_Toc16480"/>
      <w:bookmarkStart w:id="130" w:name="_Toc14186"/>
      <w:bookmarkStart w:id="131" w:name="_Toc9367"/>
      <w:bookmarkStart w:id="132" w:name="_Toc11900"/>
      <w:r>
        <w:rPr>
          <w:rFonts w:hint="eastAsia" w:ascii="黑体" w:hAnsi="宋体" w:eastAsia="黑体" w:cs="黑体"/>
          <w:color w:val="auto"/>
          <w:kern w:val="2"/>
          <w:sz w:val="28"/>
          <w:szCs w:val="28"/>
          <w:highlight w:val="none"/>
          <w:lang w:val="en-US" w:eastAsia="zh-CN" w:bidi="ar"/>
        </w:rPr>
        <w:t>十、承诺书</w:t>
      </w:r>
      <w:bookmarkEnd w:id="120"/>
      <w:bookmarkEnd w:id="129"/>
      <w:bookmarkEnd w:id="130"/>
      <w:bookmarkEnd w:id="131"/>
      <w:bookmarkEnd w:id="132"/>
    </w:p>
    <w:p w14:paraId="0D42E53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548EF55B">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48595158">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eastAsia" w:ascii="Times New Roman" w:hAnsi="Times New Roman" w:eastAsia="宋体" w:cs="Times New Roman"/>
          <w:color w:val="auto"/>
          <w:kern w:val="2"/>
          <w:sz w:val="24"/>
          <w:szCs w:val="24"/>
          <w:highlight w:val="none"/>
          <w:u w:val="single"/>
          <w:lang w:val="en-US" w:eastAsia="zh-CN" w:bidi="ar"/>
        </w:rPr>
        <w:t>合肥市包河区BH202437号地块项目二标段人防门采购及安装项目</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18CF7F7B">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7B4BF94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53EF690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3265B8FE">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716F21FA">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A36D51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68B1C37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6AE90DF3">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（5）按照响应文件第六章企业实力中提到的具体加工厂生产产品，合同执行期间无条件接受你方检查，如未经你方同意擅自在其他地方生产的，你方有权取消合同。</w:t>
      </w:r>
      <w:r>
        <w:rPr>
          <w:rFonts w:hint="eastAsia" w:ascii="Times New Roman" w:hAnsi="Times New Roman" w:eastAsia="宋体" w:cs="Times New Roman"/>
          <w:b/>
          <w:bCs/>
          <w:color w:val="auto"/>
          <w:kern w:val="2"/>
          <w:sz w:val="24"/>
          <w:szCs w:val="24"/>
          <w:highlight w:val="none"/>
          <w:lang w:val="en-US" w:eastAsia="zh-CN" w:bidi="ar"/>
        </w:rPr>
        <w:t xml:space="preserve"> </w:t>
      </w:r>
    </w:p>
    <w:p w14:paraId="6F2C472B">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Times New Roman" w:hAnsi="Times New Roman" w:eastAsia="宋体" w:cs="Times New Roman"/>
          <w:b/>
          <w:bCs/>
          <w:color w:val="auto"/>
          <w:kern w:val="2"/>
          <w:sz w:val="24"/>
          <w:szCs w:val="24"/>
          <w:highlight w:val="none"/>
          <w:lang w:val="en-US" w:eastAsia="zh-CN" w:bidi="ar"/>
        </w:rPr>
        <w:t>6</w:t>
      </w:r>
      <w:r>
        <w:rPr>
          <w:rFonts w:hint="eastAsia" w:ascii="宋体" w:hAnsi="宋体" w:eastAsia="宋体" w:cs="宋体"/>
          <w:b/>
          <w:bCs/>
          <w:color w:val="auto"/>
          <w:kern w:val="2"/>
          <w:sz w:val="24"/>
          <w:szCs w:val="24"/>
          <w:highlight w:val="none"/>
          <w:lang w:val="en-US" w:eastAsia="zh-CN" w:bidi="ar"/>
        </w:rPr>
        <w:t>）在你方和我方进行合同谈判之前，我方将按照响应文件中填报信息及采购文件提出的要求严格执行，如我方设备及相关资料不满足合同附件要求，你方有权取消我方成交资格。</w:t>
      </w:r>
      <w:r>
        <w:rPr>
          <w:rFonts w:hint="eastAsia" w:ascii="Times New Roman" w:hAnsi="Times New Roman" w:eastAsia="宋体" w:cs="Times New Roman"/>
          <w:b/>
          <w:bCs/>
          <w:color w:val="auto"/>
          <w:kern w:val="2"/>
          <w:sz w:val="24"/>
          <w:szCs w:val="24"/>
          <w:highlight w:val="none"/>
          <w:lang w:val="en-US" w:eastAsia="zh-CN" w:bidi="ar"/>
        </w:rPr>
        <w:t xml:space="preserve"> </w:t>
      </w:r>
    </w:p>
    <w:p w14:paraId="2E6C9359">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31808340">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19195694">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71AD6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26BA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D889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8B65FD6">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5AA40B3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33" w:name="_Toc2975"/>
      <w:bookmarkStart w:id="134" w:name="_Toc10955"/>
      <w:bookmarkStart w:id="135" w:name="_Toc3055"/>
      <w:bookmarkStart w:id="136" w:name="_Toc20014"/>
      <w:bookmarkStart w:id="137" w:name="_Toc10121"/>
      <w:r>
        <w:rPr>
          <w:rFonts w:hint="eastAsia" w:ascii="黑体" w:hAnsi="宋体" w:eastAsia="黑体" w:cs="黑体"/>
          <w:color w:val="auto"/>
          <w:kern w:val="2"/>
          <w:sz w:val="28"/>
          <w:szCs w:val="28"/>
          <w:highlight w:val="none"/>
          <w:lang w:val="en-US" w:eastAsia="zh-CN" w:bidi="ar"/>
        </w:rPr>
        <w:t>十一、其他材料</w:t>
      </w:r>
      <w:bookmarkEnd w:id="133"/>
      <w:bookmarkEnd w:id="134"/>
      <w:bookmarkEnd w:id="135"/>
      <w:bookmarkEnd w:id="136"/>
      <w:bookmarkEnd w:id="137"/>
    </w:p>
    <w:p w14:paraId="1698877D">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606F688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6F487B48">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8E782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840CDE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11BA46A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F3E5A4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F3C4B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C0057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AB5A7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08848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1F2B7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8167D5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23BEE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95EB6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2B7118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A151D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46344C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F8D97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36F5FD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C7AB90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CEB3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7E99F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588BAC3">
      <w:pPr>
        <w:rPr>
          <w:rFonts w:ascii="Times New Roman" w:hAnsi="Times New Roman" w:cs="Times New Roman"/>
          <w:color w:val="auto"/>
          <w:sz w:val="24"/>
          <w:szCs w:val="28"/>
          <w:highlight w:val="none"/>
        </w:rPr>
      </w:pPr>
    </w:p>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5DFD7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黑体" w:cs="Times New Roman"/>
          <w:color w:val="auto"/>
          <w:kern w:val="2"/>
          <w:sz w:val="50"/>
          <w:szCs w:val="50"/>
          <w:highlight w:val="none"/>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合肥市包河区BH202437号地块项目二标段人防门采购及安装项目</w:t>
      </w:r>
    </w:p>
    <w:p w14:paraId="1C48DF2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imes New Roman" w:hAnsi="Times New Roman" w:eastAsia="黑体" w:cs="Times New Roman"/>
          <w:color w:val="auto"/>
          <w:sz w:val="50"/>
          <w:szCs w:val="50"/>
          <w:highlight w:val="none"/>
        </w:rPr>
      </w:pPr>
    </w:p>
    <w:p w14:paraId="14CF78B8">
      <w:pPr>
        <w:jc w:val="both"/>
        <w:outlineLvl w:val="9"/>
        <w:rPr>
          <w:rFonts w:ascii="Times New Roman" w:hAnsi="Times New Roman" w:eastAsia="黑体" w:cs="Times New Roman"/>
          <w:color w:val="auto"/>
          <w:sz w:val="50"/>
          <w:szCs w:val="50"/>
          <w:highlight w:val="none"/>
        </w:rPr>
      </w:pPr>
    </w:p>
    <w:p w14:paraId="6C57ACC7">
      <w:pPr>
        <w:jc w:val="both"/>
        <w:outlineLvl w:val="9"/>
        <w:rPr>
          <w:rFonts w:ascii="Times New Roman" w:hAnsi="Times New Roman" w:eastAsia="黑体" w:cs="Times New Roman"/>
          <w:color w:val="auto"/>
          <w:sz w:val="50"/>
          <w:szCs w:val="50"/>
          <w:highlight w:val="none"/>
        </w:rPr>
      </w:pPr>
    </w:p>
    <w:p w14:paraId="23A6FE9B">
      <w:pPr>
        <w:jc w:val="both"/>
        <w:outlineLvl w:val="9"/>
        <w:rPr>
          <w:rFonts w:ascii="Times New Roman" w:hAnsi="Times New Roman" w:eastAsia="黑体" w:cs="Times New Roman"/>
          <w:color w:val="auto"/>
          <w:sz w:val="50"/>
          <w:szCs w:val="50"/>
          <w:highlight w:val="none"/>
        </w:rPr>
      </w:pPr>
    </w:p>
    <w:p w14:paraId="41F2A134">
      <w:pPr>
        <w:jc w:val="center"/>
        <w:outlineLvl w:val="0"/>
        <w:rPr>
          <w:rFonts w:ascii="Times New Roman" w:hAnsi="Times New Roman" w:eastAsia="黑体" w:cs="Times New Roman"/>
          <w:color w:val="auto"/>
          <w:sz w:val="50"/>
          <w:szCs w:val="50"/>
          <w:highlight w:val="none"/>
        </w:rPr>
      </w:pPr>
      <w:bookmarkStart w:id="138" w:name="_Toc15845"/>
      <w:bookmarkStart w:id="139" w:name="_Toc2786"/>
      <w:bookmarkStart w:id="140" w:name="_Toc28949"/>
      <w:bookmarkStart w:id="141" w:name="_Toc10029"/>
      <w:bookmarkStart w:id="142" w:name="_Toc4837"/>
      <w:r>
        <w:rPr>
          <w:rFonts w:ascii="Times New Roman" w:hAnsi="Times New Roman" w:eastAsia="黑体" w:cs="Times New Roman"/>
          <w:color w:val="auto"/>
          <w:sz w:val="50"/>
          <w:szCs w:val="50"/>
          <w:highlight w:val="none"/>
        </w:rPr>
        <w:t>响  应  文  件</w:t>
      </w:r>
      <w:bookmarkEnd w:id="138"/>
      <w:bookmarkEnd w:id="139"/>
      <w:bookmarkEnd w:id="140"/>
      <w:bookmarkEnd w:id="141"/>
      <w:bookmarkEnd w:id="142"/>
    </w:p>
    <w:p w14:paraId="7382D764">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42FAF460">
      <w:pPr>
        <w:spacing w:line="440" w:lineRule="exact"/>
        <w:rPr>
          <w:rFonts w:ascii="Times New Roman" w:hAnsi="Times New Roman" w:eastAsia="黑体" w:cs="Times New Roman"/>
          <w:color w:val="auto"/>
          <w:sz w:val="32"/>
          <w:szCs w:val="32"/>
          <w:highlight w:val="none"/>
        </w:rPr>
      </w:pPr>
    </w:p>
    <w:p w14:paraId="32DAD549">
      <w:pPr>
        <w:spacing w:line="440" w:lineRule="exact"/>
        <w:rPr>
          <w:rFonts w:ascii="Times New Roman" w:hAnsi="Times New Roman" w:eastAsia="黑体" w:cs="Times New Roman"/>
          <w:color w:val="auto"/>
          <w:sz w:val="32"/>
          <w:szCs w:val="32"/>
          <w:highlight w:val="none"/>
        </w:rPr>
      </w:pPr>
    </w:p>
    <w:p w14:paraId="31CF9F8F">
      <w:pPr>
        <w:spacing w:line="440" w:lineRule="exact"/>
        <w:rPr>
          <w:rFonts w:ascii="Times New Roman" w:hAnsi="Times New Roman" w:eastAsia="黑体" w:cs="Times New Roman"/>
          <w:color w:val="auto"/>
          <w:sz w:val="20"/>
          <w:szCs w:val="20"/>
          <w:highlight w:val="none"/>
        </w:rPr>
      </w:pPr>
    </w:p>
    <w:p w14:paraId="219A8A2B">
      <w:pPr>
        <w:spacing w:line="440" w:lineRule="exact"/>
        <w:rPr>
          <w:rFonts w:ascii="Times New Roman" w:hAnsi="Times New Roman" w:eastAsia="黑体" w:cs="Times New Roman"/>
          <w:color w:val="auto"/>
          <w:sz w:val="20"/>
          <w:szCs w:val="20"/>
          <w:highlight w:val="none"/>
        </w:rPr>
      </w:pPr>
    </w:p>
    <w:p w14:paraId="161D3AFE">
      <w:pPr>
        <w:spacing w:line="440" w:lineRule="exact"/>
        <w:rPr>
          <w:rFonts w:ascii="Times New Roman" w:hAnsi="Times New Roman" w:eastAsia="黑体" w:cs="Times New Roman"/>
          <w:color w:val="auto"/>
          <w:sz w:val="20"/>
          <w:szCs w:val="20"/>
          <w:highlight w:val="none"/>
        </w:rPr>
      </w:pPr>
    </w:p>
    <w:p w14:paraId="67D4AE3B">
      <w:pPr>
        <w:spacing w:line="440" w:lineRule="exact"/>
        <w:rPr>
          <w:rFonts w:ascii="Times New Roman" w:hAnsi="Times New Roman" w:eastAsia="黑体" w:cs="Times New Roman"/>
          <w:color w:val="auto"/>
          <w:sz w:val="20"/>
          <w:szCs w:val="20"/>
          <w:highlight w:val="none"/>
        </w:rPr>
      </w:pPr>
    </w:p>
    <w:p w14:paraId="74A0F41C">
      <w:pPr>
        <w:spacing w:line="440" w:lineRule="exact"/>
        <w:rPr>
          <w:rFonts w:ascii="Times New Roman" w:hAnsi="Times New Roman" w:eastAsia="黑体" w:cs="Times New Roman"/>
          <w:color w:val="auto"/>
          <w:sz w:val="20"/>
          <w:szCs w:val="20"/>
          <w:highlight w:val="none"/>
        </w:rPr>
      </w:pPr>
    </w:p>
    <w:p w14:paraId="34EFD36E">
      <w:pPr>
        <w:pStyle w:val="20"/>
        <w:rPr>
          <w:rFonts w:ascii="Times New Roman" w:hAnsi="Times New Roman" w:eastAsia="黑体" w:cs="Times New Roman"/>
          <w:color w:val="auto"/>
          <w:sz w:val="20"/>
          <w:szCs w:val="20"/>
          <w:highlight w:val="none"/>
        </w:rPr>
      </w:pPr>
    </w:p>
    <w:p w14:paraId="0963F458">
      <w:pPr>
        <w:rPr>
          <w:rFonts w:ascii="Times New Roman" w:hAnsi="Times New Roman" w:eastAsia="黑体" w:cs="Times New Roman"/>
          <w:color w:val="auto"/>
          <w:sz w:val="20"/>
          <w:szCs w:val="20"/>
          <w:highlight w:val="none"/>
        </w:rPr>
      </w:pPr>
    </w:p>
    <w:p w14:paraId="53B739CA">
      <w:pPr>
        <w:pStyle w:val="20"/>
        <w:rPr>
          <w:rFonts w:ascii="Times New Roman" w:hAnsi="Times New Roman" w:eastAsia="黑体" w:cs="Times New Roman"/>
          <w:color w:val="auto"/>
          <w:sz w:val="20"/>
          <w:szCs w:val="20"/>
          <w:highlight w:val="none"/>
        </w:rPr>
      </w:pPr>
    </w:p>
    <w:p w14:paraId="3719D7B2">
      <w:pPr>
        <w:rPr>
          <w:rFonts w:ascii="Times New Roman" w:hAnsi="Times New Roman" w:eastAsia="黑体" w:cs="Times New Roman"/>
          <w:color w:val="auto"/>
          <w:sz w:val="20"/>
          <w:szCs w:val="20"/>
          <w:highlight w:val="none"/>
        </w:rPr>
      </w:pPr>
    </w:p>
    <w:p w14:paraId="2CF8BE4D">
      <w:pPr>
        <w:spacing w:line="440" w:lineRule="exact"/>
        <w:rPr>
          <w:rFonts w:ascii="Times New Roman" w:hAnsi="Times New Roman" w:eastAsia="黑体" w:cs="Times New Roman"/>
          <w:color w:val="auto"/>
          <w:sz w:val="20"/>
          <w:szCs w:val="20"/>
          <w:highlight w:val="none"/>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42E13069">
      <w:pPr>
        <w:adjustRightInd w:val="0"/>
        <w:snapToGrid w:val="0"/>
        <w:rPr>
          <w:rFonts w:ascii="Times New Roman" w:hAnsi="Times New Roman" w:eastAsia="黑体" w:cs="Times New Roman"/>
          <w:color w:val="auto"/>
          <w:sz w:val="20"/>
          <w:szCs w:val="20"/>
          <w:highlight w:val="none"/>
        </w:rPr>
      </w:pPr>
    </w:p>
    <w:p w14:paraId="6EF7835A">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143" w:name="_Toc11805_WPSOffice_Level1"/>
      <w:bookmarkStart w:id="144" w:name="_Toc24269_WPSOffice_Level1"/>
      <w:bookmarkStart w:id="145" w:name="_Toc15092"/>
      <w:bookmarkStart w:id="146" w:name="_Toc2765_WPSOffice_Level1"/>
      <w:bookmarkStart w:id="147" w:name="_Toc23583"/>
      <w:bookmarkStart w:id="148" w:name="_Toc8703"/>
      <w:bookmarkStart w:id="149" w:name="_Toc29399_WPSOffice_Level1"/>
      <w:bookmarkStart w:id="150" w:name="_Toc30031_WPSOffice_Level1"/>
      <w:bookmarkStart w:id="151" w:name="_Toc29968"/>
      <w:bookmarkStart w:id="152" w:name="_Toc1687_WPSOffice_Level1"/>
      <w:bookmarkStart w:id="153" w:name="_Toc18312_WPSOffice_Level1"/>
      <w:bookmarkStart w:id="154" w:name="_Toc1924"/>
      <w:r>
        <w:rPr>
          <w:rFonts w:hint="eastAsia" w:ascii="黑体" w:hAnsi="黑体" w:eastAsia="黑体" w:cs="黑体"/>
          <w:b w:val="0"/>
          <w:bCs/>
          <w:color w:val="auto"/>
          <w:sz w:val="28"/>
          <w:szCs w:val="28"/>
          <w:highlight w:val="none"/>
        </w:rPr>
        <w:t>一、</w:t>
      </w:r>
      <w:bookmarkEnd w:id="143"/>
      <w:bookmarkEnd w:id="144"/>
      <w:bookmarkEnd w:id="145"/>
      <w:bookmarkEnd w:id="146"/>
      <w:bookmarkEnd w:id="147"/>
      <w:bookmarkEnd w:id="148"/>
      <w:bookmarkEnd w:id="149"/>
      <w:bookmarkEnd w:id="150"/>
      <w:bookmarkEnd w:id="151"/>
      <w:bookmarkEnd w:id="152"/>
      <w:bookmarkEnd w:id="153"/>
      <w:bookmarkEnd w:id="154"/>
      <w:r>
        <w:rPr>
          <w:rFonts w:hint="eastAsia" w:ascii="黑体" w:hAnsi="黑体" w:eastAsia="黑体" w:cs="黑体"/>
          <w:b w:val="0"/>
          <w:bCs/>
          <w:color w:val="auto"/>
          <w:sz w:val="28"/>
          <w:szCs w:val="28"/>
          <w:highlight w:val="none"/>
          <w:lang w:eastAsia="zh-CN"/>
        </w:rPr>
        <w:t>响应函</w:t>
      </w:r>
    </w:p>
    <w:p w14:paraId="2D9C7FD0">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D13F3E4">
      <w:pPr>
        <w:pStyle w:val="2"/>
        <w:rPr>
          <w:color w:val="auto"/>
          <w:highlight w:val="none"/>
        </w:rPr>
      </w:pPr>
    </w:p>
    <w:p w14:paraId="0E5946D8">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eastAsia" w:ascii="Times New Roman" w:hAnsi="Times New Roman" w:cs="Times New Roman"/>
          <w:color w:val="auto"/>
          <w:sz w:val="24"/>
          <w:highlight w:val="none"/>
          <w:u w:val="single"/>
        </w:rPr>
        <w:t>合肥市包河区BH202437号地块项目二标段人防门采购及安装项目</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488C00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0DCFE4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3072963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233214A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5B53326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461E0D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2AA67BE1">
      <w:pPr>
        <w:pStyle w:val="2"/>
        <w:rPr>
          <w:rFonts w:hint="eastAsia" w:ascii="Times New Roman" w:hAnsi="Times New Roman" w:cs="Times New Roman"/>
          <w:color w:val="auto"/>
          <w:sz w:val="24"/>
          <w:highlight w:val="none"/>
        </w:rPr>
      </w:pPr>
    </w:p>
    <w:p w14:paraId="2564B337">
      <w:pPr>
        <w:pStyle w:val="33"/>
        <w:rPr>
          <w:rFonts w:hint="eastAsia"/>
          <w:color w:val="auto"/>
          <w:highlight w:val="none"/>
        </w:rPr>
      </w:pPr>
    </w:p>
    <w:p w14:paraId="22CEF1E1">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50E71AAE">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6D7D89D2">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4B7CD6B4">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45C12650">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3E1F27ED">
      <w:pPr>
        <w:spacing w:line="400" w:lineRule="exact"/>
        <w:ind w:firstLine="4740" w:firstLineChars="1975"/>
        <w:rPr>
          <w:rFonts w:ascii="Times New Roman" w:hAnsi="Times New Roman" w:cs="Times New Roman"/>
          <w:color w:val="auto"/>
          <w:sz w:val="24"/>
          <w:highlight w:val="none"/>
        </w:rPr>
      </w:pPr>
    </w:p>
    <w:p w14:paraId="0EED3B31">
      <w:pPr>
        <w:pStyle w:val="20"/>
        <w:rPr>
          <w:rFonts w:ascii="Times New Roman" w:hAnsi="Times New Roman" w:cs="Times New Roman"/>
          <w:color w:val="auto"/>
          <w:sz w:val="24"/>
          <w:highlight w:val="none"/>
        </w:rPr>
      </w:pPr>
    </w:p>
    <w:p w14:paraId="530B1E63">
      <w:pPr>
        <w:rPr>
          <w:rFonts w:ascii="Times New Roman" w:hAnsi="Times New Roman" w:cs="Times New Roman"/>
          <w:color w:val="auto"/>
          <w:sz w:val="24"/>
          <w:highlight w:val="none"/>
        </w:rPr>
      </w:pPr>
    </w:p>
    <w:p w14:paraId="4DE51CCD">
      <w:pPr>
        <w:pStyle w:val="2"/>
        <w:rPr>
          <w:color w:val="auto"/>
          <w:highlight w:val="none"/>
        </w:rPr>
      </w:pPr>
    </w:p>
    <w:p w14:paraId="6E6071E0">
      <w:pPr>
        <w:rPr>
          <w:color w:val="auto"/>
          <w:highlight w:val="none"/>
        </w:rPr>
      </w:pPr>
    </w:p>
    <w:p w14:paraId="038932C6">
      <w:pPr>
        <w:rPr>
          <w:color w:val="auto"/>
          <w:highlight w:val="none"/>
        </w:rPr>
      </w:pPr>
    </w:p>
    <w:p w14:paraId="2AF58674">
      <w:pPr>
        <w:rPr>
          <w:color w:val="auto"/>
          <w:highlight w:val="none"/>
        </w:rPr>
      </w:pPr>
    </w:p>
    <w:p w14:paraId="32C8775A">
      <w:pPr>
        <w:pStyle w:val="3"/>
        <w:rPr>
          <w:color w:val="auto"/>
          <w:highlight w:val="none"/>
        </w:rPr>
      </w:pPr>
    </w:p>
    <w:p w14:paraId="3659ED9B">
      <w:pPr>
        <w:pStyle w:val="20"/>
        <w:rPr>
          <w:rFonts w:ascii="Times New Roman" w:hAnsi="Times New Roman" w:cs="Times New Roman"/>
          <w:color w:val="auto"/>
          <w:sz w:val="24"/>
          <w:highlight w:val="none"/>
        </w:rPr>
      </w:pPr>
    </w:p>
    <w:p w14:paraId="0B9FD6BB">
      <w:pPr>
        <w:adjustRightInd w:val="0"/>
        <w:snapToGrid w:val="0"/>
        <w:jc w:val="center"/>
        <w:outlineLvl w:val="1"/>
        <w:rPr>
          <w:rFonts w:hint="eastAsia" w:ascii="黑体" w:hAnsi="黑体" w:eastAsia="黑体" w:cs="黑体"/>
          <w:b w:val="0"/>
          <w:bCs/>
          <w:color w:val="auto"/>
          <w:sz w:val="28"/>
          <w:szCs w:val="28"/>
          <w:highlight w:val="none"/>
        </w:rPr>
      </w:pPr>
      <w:bookmarkStart w:id="155" w:name="_Toc153421230"/>
      <w:bookmarkStart w:id="156" w:name="_Toc272486050"/>
      <w:bookmarkStart w:id="157" w:name="_Toc162490440"/>
      <w:r>
        <w:rPr>
          <w:rFonts w:hint="eastAsia" w:ascii="黑体" w:hAnsi="黑体" w:eastAsia="黑体" w:cs="黑体"/>
          <w:b w:val="0"/>
          <w:bCs/>
          <w:color w:val="auto"/>
          <w:sz w:val="28"/>
          <w:szCs w:val="28"/>
          <w:highlight w:val="none"/>
        </w:rPr>
        <w:t>二、</w:t>
      </w:r>
      <w:bookmarkEnd w:id="155"/>
      <w:bookmarkEnd w:id="156"/>
      <w:bookmarkEnd w:id="157"/>
      <w:r>
        <w:rPr>
          <w:rFonts w:hint="eastAsia" w:ascii="黑体" w:hAnsi="黑体" w:eastAsia="黑体" w:cs="黑体"/>
          <w:b w:val="0"/>
          <w:bCs/>
          <w:color w:val="auto"/>
          <w:sz w:val="28"/>
          <w:szCs w:val="28"/>
          <w:highlight w:val="none"/>
        </w:rPr>
        <w:t>已标价的报价清单</w:t>
      </w: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70026314">
      <w:pPr>
        <w:bidi w:val="0"/>
        <w:rPr>
          <w:rFonts w:hint="eastAsia"/>
          <w:color w:val="auto"/>
          <w:highlight w:val="none"/>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32"/>
        <w:gridCol w:w="3151"/>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1" w:type="dxa"/>
            <w:vAlign w:val="center"/>
          </w:tcPr>
          <w:p w14:paraId="40882969">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832" w:type="dxa"/>
            <w:vAlign w:val="center"/>
          </w:tcPr>
          <w:p w14:paraId="70787F35">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p>
        </w:tc>
        <w:tc>
          <w:tcPr>
            <w:tcW w:w="3151" w:type="dxa"/>
            <w:vAlign w:val="center"/>
          </w:tcPr>
          <w:p w14:paraId="5D63EC84">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2E7D9F42">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832" w:type="dxa"/>
            <w:vAlign w:val="center"/>
          </w:tcPr>
          <w:p w14:paraId="5649D393">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3151" w:type="dxa"/>
            <w:vAlign w:val="center"/>
          </w:tcPr>
          <w:p w14:paraId="7202620A">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6A4B90EC">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613" w:type="dxa"/>
            <w:gridSpan w:val="2"/>
            <w:vAlign w:val="center"/>
          </w:tcPr>
          <w:p w14:paraId="7BEBA5EB">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5270" w:type="dxa"/>
            <w:gridSpan w:val="2"/>
            <w:vAlign w:val="center"/>
          </w:tcPr>
          <w:p w14:paraId="02585497">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24F56A55">
      <w:pPr>
        <w:pStyle w:val="20"/>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20"/>
        <w:rPr>
          <w:color w:val="auto"/>
          <w:highlight w:val="none"/>
        </w:rPr>
      </w:pPr>
    </w:p>
    <w:p w14:paraId="1963A718">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9"/>
        <w:rPr>
          <w:rFonts w:hint="eastAsia"/>
          <w:color w:val="auto"/>
          <w:highlight w:val="none"/>
          <w:lang w:val="en-US" w:eastAsia="zh-CN"/>
        </w:rPr>
      </w:pPr>
    </w:p>
    <w:p w14:paraId="581676FD">
      <w:pPr>
        <w:pStyle w:val="19"/>
        <w:rPr>
          <w:rFonts w:hint="eastAsia"/>
          <w:color w:val="auto"/>
          <w:highlight w:val="none"/>
          <w:lang w:val="en-US" w:eastAsia="zh-CN"/>
        </w:rPr>
      </w:pPr>
    </w:p>
    <w:p w14:paraId="29FA330E">
      <w:pPr>
        <w:pStyle w:val="19"/>
        <w:rPr>
          <w:rFonts w:hint="eastAsia"/>
          <w:color w:val="auto"/>
          <w:highlight w:val="none"/>
          <w:lang w:val="en-US" w:eastAsia="zh-CN"/>
        </w:rPr>
      </w:pPr>
    </w:p>
    <w:p w14:paraId="2D46430B">
      <w:pPr>
        <w:pStyle w:val="19"/>
        <w:rPr>
          <w:rFonts w:hint="eastAsia"/>
          <w:color w:val="auto"/>
          <w:highlight w:val="none"/>
          <w:lang w:val="en-US" w:eastAsia="zh-CN"/>
        </w:rPr>
      </w:pPr>
    </w:p>
    <w:p w14:paraId="0A4FE8E0">
      <w:pPr>
        <w:pStyle w:val="19"/>
        <w:rPr>
          <w:rFonts w:hint="eastAsia"/>
          <w:color w:val="auto"/>
          <w:highlight w:val="none"/>
          <w:lang w:val="en-US" w:eastAsia="zh-CN"/>
        </w:rPr>
      </w:pPr>
    </w:p>
    <w:p w14:paraId="0720517D">
      <w:pPr>
        <w:pStyle w:val="19"/>
        <w:rPr>
          <w:rFonts w:hint="eastAsia"/>
          <w:color w:val="auto"/>
          <w:highlight w:val="none"/>
          <w:lang w:val="en-US" w:eastAsia="zh-CN"/>
        </w:rPr>
      </w:pPr>
    </w:p>
    <w:p w14:paraId="592E8BAC">
      <w:pPr>
        <w:pStyle w:val="19"/>
        <w:rPr>
          <w:rFonts w:hint="eastAsia"/>
          <w:color w:val="auto"/>
          <w:highlight w:val="none"/>
          <w:lang w:val="en-US" w:eastAsia="zh-CN"/>
        </w:rPr>
      </w:pPr>
    </w:p>
    <w:p w14:paraId="640FE834">
      <w:pPr>
        <w:spacing w:line="440" w:lineRule="exact"/>
        <w:rPr>
          <w:rFonts w:ascii="Times New Roman" w:hAnsi="Times New Roman" w:eastAsia="黑体" w:cs="Times New Roman"/>
          <w:color w:val="auto"/>
          <w:sz w:val="24"/>
          <w:highlight w:val="none"/>
        </w:rPr>
      </w:pPr>
    </w:p>
    <w:p w14:paraId="71C01FAE">
      <w:pPr>
        <w:spacing w:line="440" w:lineRule="exact"/>
        <w:rPr>
          <w:rFonts w:ascii="Times New Roman" w:hAnsi="Times New Roman" w:eastAsia="黑体" w:cs="Times New Roman"/>
          <w:color w:val="auto"/>
          <w:sz w:val="24"/>
          <w:highlight w:val="none"/>
        </w:rPr>
      </w:pPr>
    </w:p>
    <w:p w14:paraId="07F63956">
      <w:pPr>
        <w:bidi w:val="0"/>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155C63BA">
      <w:pPr>
        <w:pStyle w:val="19"/>
        <w:rPr>
          <w:rFonts w:hint="eastAsia"/>
          <w:color w:val="auto"/>
          <w:highlight w:val="none"/>
          <w:lang w:val="en-US" w:eastAsia="zh-CN"/>
        </w:rPr>
      </w:pPr>
    </w:p>
    <w:p w14:paraId="4BB2DBFD">
      <w:pPr>
        <w:pStyle w:val="19"/>
        <w:rPr>
          <w:rFonts w:hint="eastAsia"/>
          <w:color w:val="auto"/>
          <w:highlight w:val="none"/>
          <w:lang w:val="en-US" w:eastAsia="zh-CN"/>
        </w:rPr>
      </w:pPr>
    </w:p>
    <w:p w14:paraId="06788BEC">
      <w:pPr>
        <w:pStyle w:val="19"/>
        <w:rPr>
          <w:rFonts w:hint="eastAsia"/>
          <w:color w:val="auto"/>
          <w:highlight w:val="none"/>
          <w:lang w:val="en-US" w:eastAsia="zh-CN"/>
        </w:rPr>
      </w:pPr>
    </w:p>
    <w:p w14:paraId="580C0859">
      <w:pPr>
        <w:pStyle w:val="19"/>
        <w:rPr>
          <w:rFonts w:hint="eastAsia"/>
          <w:color w:val="auto"/>
          <w:highlight w:val="none"/>
          <w:lang w:val="en-US" w:eastAsia="zh-CN"/>
        </w:rPr>
      </w:pPr>
    </w:p>
    <w:p w14:paraId="0675DBD4">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1.上述费用包括货物的原材料、生产、包装、运输、安装、保险、卸货叉车费（如有）、人工费、卸车费、利润、税费等相关费用。</w:t>
      </w:r>
    </w:p>
    <w:p w14:paraId="5B75BEDD">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1A366C9D">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3.必须按规定提供全部完整无损、全新的产品。涉及标的物第三方复试费用均由供应商承担（含检测样品），抽检频率和批次按国家、行业标准或甲方要求执行。</w:t>
      </w:r>
    </w:p>
    <w:p w14:paraId="1EE7804B">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4.标的物须在包装外壁醒目位置上永久性标示生产厂家、生产批次、品牌标志、规格型号、唯一性可追溯性编码标识（如二维码）等信息。</w:t>
      </w:r>
    </w:p>
    <w:p w14:paraId="5B5EC393">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5.标的物供货进度应满足采购人工程进度分批次实施的安排和要求，中标人应充分理解并全力配合采购人的标的物采购、进场工作，并承担因送货次数增加而引起的运输成本增加等相应风险。</w:t>
      </w:r>
    </w:p>
    <w:p w14:paraId="324F1C01">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中标人对提供的标的物质量负总责，材料进场应按程序履行报验、交接手续；因标的物质量问题，将视作违约，中标人须赔偿由此造成返工的全部工程建设费用及其他一切损失，同时由采购人追究中标人的违约责任，情节严重的，依法追究相关责任。</w:t>
      </w:r>
    </w:p>
    <w:p w14:paraId="282D03A1">
      <w:pPr>
        <w:pStyle w:val="13"/>
        <w:adjustRightInd w:val="0"/>
        <w:snapToGrid w:val="0"/>
        <w:jc w:val="center"/>
        <w:rPr>
          <w:rFonts w:ascii="Times New Roman" w:hAnsi="Times New Roman" w:cs="Times New Roman"/>
          <w:color w:val="auto"/>
          <w:highlight w:val="none"/>
        </w:rPr>
      </w:pPr>
    </w:p>
    <w:p w14:paraId="133742F3">
      <w:pPr>
        <w:rPr>
          <w:rFonts w:ascii="Times New Roman" w:hAnsi="Times New Roman" w:eastAsia="华文中宋" w:cs="Times New Roman"/>
          <w:b/>
          <w:smallCaps/>
          <w:color w:val="auto"/>
          <w:sz w:val="24"/>
          <w:szCs w:val="24"/>
          <w:highlight w:val="none"/>
        </w:rPr>
      </w:pPr>
      <w:r>
        <w:rPr>
          <w:rFonts w:ascii="Times New Roman" w:hAnsi="Times New Roman" w:eastAsia="华文中宋" w:cs="Times New Roman"/>
          <w:b/>
          <w:smallCaps/>
          <w:color w:val="auto"/>
          <w:sz w:val="24"/>
          <w:szCs w:val="24"/>
          <w:highlight w:val="none"/>
        </w:rPr>
        <w:br w:type="page"/>
      </w:r>
    </w:p>
    <w:p w14:paraId="5D16C7CF">
      <w:pPr>
        <w:pStyle w:val="13"/>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08CAB758">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34C21B0D">
      <w:pPr>
        <w:pStyle w:val="20"/>
        <w:rPr>
          <w:rFonts w:ascii="Times New Roman" w:hAnsi="Times New Roman" w:cs="Times New Roman"/>
          <w:color w:val="auto"/>
          <w:sz w:val="24"/>
          <w:highlight w:val="none"/>
        </w:rPr>
      </w:pPr>
    </w:p>
    <w:p w14:paraId="5934982E">
      <w:pPr>
        <w:rPr>
          <w:rFonts w:ascii="Times New Roman" w:hAnsi="Times New Roman" w:cs="Times New Roman"/>
          <w:color w:val="auto"/>
          <w:sz w:val="24"/>
          <w:highlight w:val="none"/>
        </w:rPr>
      </w:pPr>
    </w:p>
    <w:p w14:paraId="18EDBFB3">
      <w:pPr>
        <w:pStyle w:val="20"/>
        <w:rPr>
          <w:rFonts w:ascii="Times New Roman" w:hAnsi="Times New Roman" w:cs="Times New Roman"/>
          <w:color w:val="auto"/>
          <w:sz w:val="24"/>
          <w:highlight w:val="none"/>
        </w:rPr>
      </w:pPr>
    </w:p>
    <w:p w14:paraId="1D66B5E8">
      <w:pPr>
        <w:rPr>
          <w:rFonts w:ascii="Times New Roman" w:hAnsi="Times New Roman" w:cs="Times New Roman"/>
          <w:color w:val="auto"/>
          <w:sz w:val="24"/>
          <w:highlight w:val="none"/>
        </w:rPr>
      </w:pPr>
    </w:p>
    <w:p w14:paraId="2ADE3158">
      <w:pPr>
        <w:pStyle w:val="20"/>
        <w:rPr>
          <w:rFonts w:ascii="Times New Roman" w:hAnsi="Times New Roman" w:cs="Times New Roman"/>
          <w:color w:val="auto"/>
          <w:sz w:val="24"/>
          <w:highlight w:val="none"/>
        </w:rPr>
      </w:pPr>
    </w:p>
    <w:p w14:paraId="5EEABA31">
      <w:pPr>
        <w:rPr>
          <w:rFonts w:ascii="Times New Roman" w:hAnsi="Times New Roman" w:cs="Times New Roman"/>
          <w:color w:val="auto"/>
          <w:sz w:val="24"/>
          <w:highlight w:val="none"/>
        </w:rPr>
      </w:pPr>
    </w:p>
    <w:p w14:paraId="41A5DB6C">
      <w:pPr>
        <w:pStyle w:val="20"/>
        <w:rPr>
          <w:rFonts w:ascii="Times New Roman" w:hAnsi="Times New Roman" w:cs="Times New Roman"/>
          <w:color w:val="auto"/>
          <w:sz w:val="24"/>
          <w:highlight w:val="none"/>
        </w:rPr>
      </w:pPr>
    </w:p>
    <w:p w14:paraId="2715B041">
      <w:pPr>
        <w:rPr>
          <w:rFonts w:ascii="Times New Roman" w:hAnsi="Times New Roman" w:cs="Times New Roman"/>
          <w:color w:val="auto"/>
          <w:sz w:val="24"/>
          <w:highlight w:val="none"/>
        </w:rPr>
      </w:pPr>
    </w:p>
    <w:p w14:paraId="334913F0">
      <w:pPr>
        <w:pStyle w:val="33"/>
        <w:rPr>
          <w:rFonts w:ascii="Times New Roman" w:hAnsi="Times New Roman" w:cs="Times New Roman"/>
          <w:color w:val="auto"/>
          <w:sz w:val="24"/>
          <w:highlight w:val="none"/>
        </w:rPr>
      </w:pPr>
    </w:p>
    <w:p w14:paraId="0C1676CE">
      <w:pPr>
        <w:rPr>
          <w:rFonts w:hint="eastAsia"/>
          <w:b/>
          <w:bCs/>
          <w:color w:val="auto"/>
          <w:sz w:val="28"/>
          <w:szCs w:val="28"/>
          <w:highlight w:val="none"/>
          <w:lang w:val="en-US" w:eastAsia="zh-CN"/>
        </w:rPr>
      </w:pPr>
    </w:p>
    <w:p w14:paraId="28FC1CAC">
      <w:pPr>
        <w:pStyle w:val="19"/>
        <w:rPr>
          <w:rFonts w:hint="eastAsia"/>
          <w:color w:val="auto"/>
          <w:highlight w:val="none"/>
          <w:lang w:val="en-US" w:eastAsia="zh-CN"/>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EAEE53C-BE16-4CE2-B6BE-E28F7915C91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E99DC48-66B5-441A-9508-1E52EB67D3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9FADC75-460E-4861-92FC-F0A043D6A188}"/>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82D25E4A-9358-4100-8083-5B3786906A53}"/>
  </w:font>
  <w:font w:name="方正小标宋简体">
    <w:panose1 w:val="03000509000000000000"/>
    <w:charset w:val="86"/>
    <w:family w:val="auto"/>
    <w:pitch w:val="default"/>
    <w:sig w:usb0="00000001" w:usb1="080E0000" w:usb2="00000000" w:usb3="00000000" w:csb0="00040000" w:csb1="00000000"/>
    <w:embedRegular r:id="rId5" w:fontKey="{0DFFBFBF-A04B-4D6F-BAAC-30B9D034D24E}"/>
  </w:font>
  <w:font w:name="Wingdings 2">
    <w:panose1 w:val="05020102010507070707"/>
    <w:charset w:val="02"/>
    <w:family w:val="roman"/>
    <w:pitch w:val="default"/>
    <w:sig w:usb0="00000000" w:usb1="00000000" w:usb2="00000000" w:usb3="00000000" w:csb0="80000000" w:csb1="00000000"/>
    <w:embedRegular r:id="rId6" w:fontKey="{071D3442-9190-40DA-BDCF-125FC38FB43C}"/>
  </w:font>
  <w:font w:name="华文楷体">
    <w:panose1 w:val="02010600040101010101"/>
    <w:charset w:val="86"/>
    <w:family w:val="auto"/>
    <w:pitch w:val="default"/>
    <w:sig w:usb0="00000287" w:usb1="080F0000" w:usb2="00000000" w:usb3="00000000" w:csb0="0004009F" w:csb1="DFD70000"/>
    <w:embedRegular r:id="rId7" w:fontKey="{44A10A86-8D86-4C3A-A77D-906E2344E214}"/>
  </w:font>
  <w:font w:name="仿宋_GB2312">
    <w:panose1 w:val="02010609030101010101"/>
    <w:charset w:val="86"/>
    <w:family w:val="modern"/>
    <w:pitch w:val="default"/>
    <w:sig w:usb0="00000001" w:usb1="080E0000" w:usb2="00000000" w:usb3="00000000" w:csb0="00040000" w:csb1="00000000"/>
    <w:embedRegular r:id="rId8" w:fontKey="{03562DC5-6A2A-4E21-BAA5-2849FBC63FCF}"/>
  </w:font>
  <w:font w:name="楷体">
    <w:panose1 w:val="02010609060101010101"/>
    <w:charset w:val="86"/>
    <w:family w:val="auto"/>
    <w:pitch w:val="default"/>
    <w:sig w:usb0="800002BF" w:usb1="38CF7CFA" w:usb2="00000016" w:usb3="00000000" w:csb0="00040001" w:csb1="00000000"/>
    <w:embedRegular r:id="rId9" w:fontKey="{E7BEC8C5-0722-49F1-85D8-D6C6541FF028}"/>
  </w:font>
  <w:font w:name="仿宋">
    <w:panose1 w:val="02010609060101010101"/>
    <w:charset w:val="86"/>
    <w:family w:val="auto"/>
    <w:pitch w:val="default"/>
    <w:sig w:usb0="800002BF" w:usb1="38CF7CFA" w:usb2="00000016" w:usb3="00000000" w:csb0="00040001" w:csb1="00000000"/>
    <w:embedRegular r:id="rId10" w:fontKey="{5CE3C276-95F1-440F-88E4-74CE6286C017}"/>
  </w:font>
  <w:font w:name="华文中宋">
    <w:panose1 w:val="02010600040101010101"/>
    <w:charset w:val="50"/>
    <w:family w:val="auto"/>
    <w:pitch w:val="default"/>
    <w:sig w:usb0="00000287" w:usb1="080F0000" w:usb2="00000000" w:usb3="00000000" w:csb0="0004009F" w:csb1="DFD70000"/>
    <w:embedRegular r:id="rId11" w:fontKey="{24E4F092-2C9B-4BE6-89FB-F8C04A4A8A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2">
    <w:nsid w:val="4D0384C7"/>
    <w:multiLevelType w:val="singleLevel"/>
    <w:tmpl w:val="4D0384C7"/>
    <w:lvl w:ilvl="0" w:tentative="0">
      <w:start w:val="1"/>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C26E13"/>
    <w:rsid w:val="01D6466C"/>
    <w:rsid w:val="0211370D"/>
    <w:rsid w:val="0215764D"/>
    <w:rsid w:val="022655F4"/>
    <w:rsid w:val="023E3C6A"/>
    <w:rsid w:val="0286092F"/>
    <w:rsid w:val="028D5673"/>
    <w:rsid w:val="02932C1B"/>
    <w:rsid w:val="02B159B4"/>
    <w:rsid w:val="02C26D91"/>
    <w:rsid w:val="02D346A3"/>
    <w:rsid w:val="02DF3606"/>
    <w:rsid w:val="02F05C02"/>
    <w:rsid w:val="036118B1"/>
    <w:rsid w:val="0371289F"/>
    <w:rsid w:val="038863C7"/>
    <w:rsid w:val="0389136D"/>
    <w:rsid w:val="03A9557F"/>
    <w:rsid w:val="03B86BA8"/>
    <w:rsid w:val="03F914B2"/>
    <w:rsid w:val="04230E30"/>
    <w:rsid w:val="042516B9"/>
    <w:rsid w:val="042F2C67"/>
    <w:rsid w:val="045E338A"/>
    <w:rsid w:val="047010F6"/>
    <w:rsid w:val="04701D1E"/>
    <w:rsid w:val="049D76C3"/>
    <w:rsid w:val="04C16A73"/>
    <w:rsid w:val="04E034BC"/>
    <w:rsid w:val="05085F79"/>
    <w:rsid w:val="052851DF"/>
    <w:rsid w:val="05300538"/>
    <w:rsid w:val="0535195E"/>
    <w:rsid w:val="054416D2"/>
    <w:rsid w:val="05AF29EE"/>
    <w:rsid w:val="05D2339D"/>
    <w:rsid w:val="05F62696"/>
    <w:rsid w:val="05F94BA8"/>
    <w:rsid w:val="060774EA"/>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187C60"/>
    <w:rsid w:val="091A677A"/>
    <w:rsid w:val="09210464"/>
    <w:rsid w:val="095E1B17"/>
    <w:rsid w:val="0967516D"/>
    <w:rsid w:val="096867B1"/>
    <w:rsid w:val="09B13FF7"/>
    <w:rsid w:val="0A2E7496"/>
    <w:rsid w:val="0A407D2C"/>
    <w:rsid w:val="0A466107"/>
    <w:rsid w:val="0A64315D"/>
    <w:rsid w:val="0A8235E3"/>
    <w:rsid w:val="0A941F2B"/>
    <w:rsid w:val="0AAD73BC"/>
    <w:rsid w:val="0AB84C95"/>
    <w:rsid w:val="0AED0915"/>
    <w:rsid w:val="0AF3003D"/>
    <w:rsid w:val="0B286939"/>
    <w:rsid w:val="0B2E4625"/>
    <w:rsid w:val="0B416FFB"/>
    <w:rsid w:val="0B7F3FC7"/>
    <w:rsid w:val="0BA10DDD"/>
    <w:rsid w:val="0BB2614A"/>
    <w:rsid w:val="0BC86369"/>
    <w:rsid w:val="0BCC3D77"/>
    <w:rsid w:val="0BDD422F"/>
    <w:rsid w:val="0C024903"/>
    <w:rsid w:val="0C0B7829"/>
    <w:rsid w:val="0C126BE9"/>
    <w:rsid w:val="0C252478"/>
    <w:rsid w:val="0C425774"/>
    <w:rsid w:val="0C433DD8"/>
    <w:rsid w:val="0C5C5FF7"/>
    <w:rsid w:val="0CA667B4"/>
    <w:rsid w:val="0CB62B1E"/>
    <w:rsid w:val="0CD81BE1"/>
    <w:rsid w:val="0D604989"/>
    <w:rsid w:val="0D676CED"/>
    <w:rsid w:val="0DBD0BDC"/>
    <w:rsid w:val="0DC42165"/>
    <w:rsid w:val="0DD26630"/>
    <w:rsid w:val="0DE02F17"/>
    <w:rsid w:val="0E436CA2"/>
    <w:rsid w:val="0E541DD8"/>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101902A4"/>
    <w:rsid w:val="101A751A"/>
    <w:rsid w:val="103E486A"/>
    <w:rsid w:val="106D5B52"/>
    <w:rsid w:val="1090350E"/>
    <w:rsid w:val="10944070"/>
    <w:rsid w:val="10A6372F"/>
    <w:rsid w:val="10A97373"/>
    <w:rsid w:val="10DA535D"/>
    <w:rsid w:val="10F20D97"/>
    <w:rsid w:val="10F863AD"/>
    <w:rsid w:val="110D2AFF"/>
    <w:rsid w:val="112131E2"/>
    <w:rsid w:val="115B1CB6"/>
    <w:rsid w:val="11681ED6"/>
    <w:rsid w:val="119C482A"/>
    <w:rsid w:val="11B06C88"/>
    <w:rsid w:val="11C6025A"/>
    <w:rsid w:val="11DF30C9"/>
    <w:rsid w:val="11F528ED"/>
    <w:rsid w:val="11FD4CD5"/>
    <w:rsid w:val="129325F3"/>
    <w:rsid w:val="12983425"/>
    <w:rsid w:val="129A3494"/>
    <w:rsid w:val="12BD1492"/>
    <w:rsid w:val="12FA3B2F"/>
    <w:rsid w:val="1300779B"/>
    <w:rsid w:val="13054DB2"/>
    <w:rsid w:val="131B45D5"/>
    <w:rsid w:val="13431F92"/>
    <w:rsid w:val="13955E86"/>
    <w:rsid w:val="13C13BEB"/>
    <w:rsid w:val="13CB7DA9"/>
    <w:rsid w:val="13D604FC"/>
    <w:rsid w:val="13E11194"/>
    <w:rsid w:val="13EC1865"/>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7C0AF5"/>
    <w:rsid w:val="167C76AF"/>
    <w:rsid w:val="16A14FAE"/>
    <w:rsid w:val="16FF3D15"/>
    <w:rsid w:val="17024379"/>
    <w:rsid w:val="17263548"/>
    <w:rsid w:val="17755202"/>
    <w:rsid w:val="1776370C"/>
    <w:rsid w:val="17CF3BE0"/>
    <w:rsid w:val="182746B0"/>
    <w:rsid w:val="186C7681"/>
    <w:rsid w:val="18786026"/>
    <w:rsid w:val="188C4113"/>
    <w:rsid w:val="189E5E26"/>
    <w:rsid w:val="18D04606"/>
    <w:rsid w:val="18D70F9E"/>
    <w:rsid w:val="18FA5B52"/>
    <w:rsid w:val="19001DBB"/>
    <w:rsid w:val="19053D5D"/>
    <w:rsid w:val="190D676E"/>
    <w:rsid w:val="191A46EE"/>
    <w:rsid w:val="193D5CAC"/>
    <w:rsid w:val="19600F94"/>
    <w:rsid w:val="19647370"/>
    <w:rsid w:val="19C83B53"/>
    <w:rsid w:val="19DE1C05"/>
    <w:rsid w:val="19EB0A7A"/>
    <w:rsid w:val="1A185E2C"/>
    <w:rsid w:val="1A3C6E09"/>
    <w:rsid w:val="1A657CD8"/>
    <w:rsid w:val="1A741F99"/>
    <w:rsid w:val="1AA97D25"/>
    <w:rsid w:val="1AAC1FB7"/>
    <w:rsid w:val="1B1F49AA"/>
    <w:rsid w:val="1B416BA3"/>
    <w:rsid w:val="1B610FF3"/>
    <w:rsid w:val="1B87260E"/>
    <w:rsid w:val="1B9916E8"/>
    <w:rsid w:val="1BF956CF"/>
    <w:rsid w:val="1BFD0D5D"/>
    <w:rsid w:val="1C0C5403"/>
    <w:rsid w:val="1C511068"/>
    <w:rsid w:val="1C7D1E5D"/>
    <w:rsid w:val="1C9D0478"/>
    <w:rsid w:val="1CB03FE0"/>
    <w:rsid w:val="1CB304A3"/>
    <w:rsid w:val="1CD07137"/>
    <w:rsid w:val="1CE76D4F"/>
    <w:rsid w:val="1CF12CD2"/>
    <w:rsid w:val="1D3320C5"/>
    <w:rsid w:val="1D3772E3"/>
    <w:rsid w:val="1D3F5364"/>
    <w:rsid w:val="1D9C6C71"/>
    <w:rsid w:val="1DBF4066"/>
    <w:rsid w:val="1DC0096E"/>
    <w:rsid w:val="1DD02C25"/>
    <w:rsid w:val="1DFB32CC"/>
    <w:rsid w:val="1E085F02"/>
    <w:rsid w:val="1E2F53D8"/>
    <w:rsid w:val="1E304C77"/>
    <w:rsid w:val="1E605592"/>
    <w:rsid w:val="1E764DB5"/>
    <w:rsid w:val="1E7E7378"/>
    <w:rsid w:val="1EEE0DF0"/>
    <w:rsid w:val="1F0529C7"/>
    <w:rsid w:val="1F091FF2"/>
    <w:rsid w:val="1F172B9E"/>
    <w:rsid w:val="1F291E28"/>
    <w:rsid w:val="1F6B68E4"/>
    <w:rsid w:val="1F8615BF"/>
    <w:rsid w:val="1F93095F"/>
    <w:rsid w:val="1FB449F5"/>
    <w:rsid w:val="1FC01B05"/>
    <w:rsid w:val="1FD06747"/>
    <w:rsid w:val="1FE64151"/>
    <w:rsid w:val="1FEA7927"/>
    <w:rsid w:val="1FFE5062"/>
    <w:rsid w:val="20220D88"/>
    <w:rsid w:val="202D724A"/>
    <w:rsid w:val="20432E03"/>
    <w:rsid w:val="20556493"/>
    <w:rsid w:val="20703AC9"/>
    <w:rsid w:val="20C560D8"/>
    <w:rsid w:val="20CE5700"/>
    <w:rsid w:val="20CE712B"/>
    <w:rsid w:val="20E701EC"/>
    <w:rsid w:val="210B5C89"/>
    <w:rsid w:val="21366A7E"/>
    <w:rsid w:val="216C51F8"/>
    <w:rsid w:val="21705735"/>
    <w:rsid w:val="218872DA"/>
    <w:rsid w:val="21A659B2"/>
    <w:rsid w:val="21EC1864"/>
    <w:rsid w:val="2211172D"/>
    <w:rsid w:val="222F5C4D"/>
    <w:rsid w:val="22456F98"/>
    <w:rsid w:val="22694276"/>
    <w:rsid w:val="22853AE2"/>
    <w:rsid w:val="22870E4F"/>
    <w:rsid w:val="22886585"/>
    <w:rsid w:val="22A243CB"/>
    <w:rsid w:val="233E4325"/>
    <w:rsid w:val="23610B8C"/>
    <w:rsid w:val="23623B5A"/>
    <w:rsid w:val="23767E36"/>
    <w:rsid w:val="23DC56BB"/>
    <w:rsid w:val="23E812A0"/>
    <w:rsid w:val="241155A9"/>
    <w:rsid w:val="241D716E"/>
    <w:rsid w:val="244412FB"/>
    <w:rsid w:val="2472524B"/>
    <w:rsid w:val="24AD2EBF"/>
    <w:rsid w:val="24BB5C18"/>
    <w:rsid w:val="253902A6"/>
    <w:rsid w:val="253F05F7"/>
    <w:rsid w:val="25494FD2"/>
    <w:rsid w:val="254A0D4A"/>
    <w:rsid w:val="254B358D"/>
    <w:rsid w:val="25517C49"/>
    <w:rsid w:val="256E6DFD"/>
    <w:rsid w:val="257F09F3"/>
    <w:rsid w:val="25891872"/>
    <w:rsid w:val="25B60EA7"/>
    <w:rsid w:val="25B678EC"/>
    <w:rsid w:val="25B736EC"/>
    <w:rsid w:val="25CC7C14"/>
    <w:rsid w:val="25F767DC"/>
    <w:rsid w:val="25F80363"/>
    <w:rsid w:val="2613091A"/>
    <w:rsid w:val="26153106"/>
    <w:rsid w:val="262D48F3"/>
    <w:rsid w:val="264D0AF2"/>
    <w:rsid w:val="265909F3"/>
    <w:rsid w:val="26B33519"/>
    <w:rsid w:val="26BB5A5B"/>
    <w:rsid w:val="26DC3C24"/>
    <w:rsid w:val="26E0066E"/>
    <w:rsid w:val="26E81DCB"/>
    <w:rsid w:val="26FE3B9A"/>
    <w:rsid w:val="273571C2"/>
    <w:rsid w:val="275A75F4"/>
    <w:rsid w:val="275E50DA"/>
    <w:rsid w:val="27621A0B"/>
    <w:rsid w:val="279E7B84"/>
    <w:rsid w:val="27B103DE"/>
    <w:rsid w:val="27CE17BE"/>
    <w:rsid w:val="27DC4161"/>
    <w:rsid w:val="28302479"/>
    <w:rsid w:val="28327F9F"/>
    <w:rsid w:val="285445B2"/>
    <w:rsid w:val="286A6C87"/>
    <w:rsid w:val="28D24D9C"/>
    <w:rsid w:val="28F25980"/>
    <w:rsid w:val="28FE7045"/>
    <w:rsid w:val="2941798C"/>
    <w:rsid w:val="294C5129"/>
    <w:rsid w:val="295C70D0"/>
    <w:rsid w:val="295E4EA3"/>
    <w:rsid w:val="296E3259"/>
    <w:rsid w:val="296F6FD1"/>
    <w:rsid w:val="29C70BBB"/>
    <w:rsid w:val="29CD4E78"/>
    <w:rsid w:val="29E4351B"/>
    <w:rsid w:val="2A24600D"/>
    <w:rsid w:val="2A305480"/>
    <w:rsid w:val="2A4E6005"/>
    <w:rsid w:val="2A8F70B0"/>
    <w:rsid w:val="2A9C3DF6"/>
    <w:rsid w:val="2AE43776"/>
    <w:rsid w:val="2B06015E"/>
    <w:rsid w:val="2B1D5459"/>
    <w:rsid w:val="2B276CB6"/>
    <w:rsid w:val="2B4F4ECF"/>
    <w:rsid w:val="2B6F284F"/>
    <w:rsid w:val="2BA74026"/>
    <w:rsid w:val="2C2263B3"/>
    <w:rsid w:val="2C9C2F72"/>
    <w:rsid w:val="2CB52F4D"/>
    <w:rsid w:val="2CC15D7F"/>
    <w:rsid w:val="2CD47877"/>
    <w:rsid w:val="2CE83322"/>
    <w:rsid w:val="2D141CF6"/>
    <w:rsid w:val="2D502872"/>
    <w:rsid w:val="2D764930"/>
    <w:rsid w:val="2D984126"/>
    <w:rsid w:val="2DB31BE6"/>
    <w:rsid w:val="2DBE22D5"/>
    <w:rsid w:val="2DE444B1"/>
    <w:rsid w:val="2E0A4375"/>
    <w:rsid w:val="2E0C3040"/>
    <w:rsid w:val="2E0D52BF"/>
    <w:rsid w:val="2E35623B"/>
    <w:rsid w:val="2E4E3659"/>
    <w:rsid w:val="2E505623"/>
    <w:rsid w:val="2E6740D2"/>
    <w:rsid w:val="2E960B5C"/>
    <w:rsid w:val="2EBA6F40"/>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8C0468"/>
    <w:rsid w:val="30B55C11"/>
    <w:rsid w:val="30CB0F91"/>
    <w:rsid w:val="30D77936"/>
    <w:rsid w:val="31165933"/>
    <w:rsid w:val="31342FDA"/>
    <w:rsid w:val="316E7428"/>
    <w:rsid w:val="3175714F"/>
    <w:rsid w:val="319B3695"/>
    <w:rsid w:val="31BF0E0A"/>
    <w:rsid w:val="31D976DD"/>
    <w:rsid w:val="31F14A27"/>
    <w:rsid w:val="32164205"/>
    <w:rsid w:val="322546D1"/>
    <w:rsid w:val="32332253"/>
    <w:rsid w:val="32382656"/>
    <w:rsid w:val="324271A8"/>
    <w:rsid w:val="327A0EC0"/>
    <w:rsid w:val="329D4BAF"/>
    <w:rsid w:val="32D10F12"/>
    <w:rsid w:val="331D35FA"/>
    <w:rsid w:val="332C1A8F"/>
    <w:rsid w:val="333B777A"/>
    <w:rsid w:val="333F226C"/>
    <w:rsid w:val="339A2E9C"/>
    <w:rsid w:val="33A51F6D"/>
    <w:rsid w:val="33C26030"/>
    <w:rsid w:val="33C547A5"/>
    <w:rsid w:val="34526CBA"/>
    <w:rsid w:val="345A580A"/>
    <w:rsid w:val="34B22DB1"/>
    <w:rsid w:val="34E42564"/>
    <w:rsid w:val="34EA61B8"/>
    <w:rsid w:val="34F12F90"/>
    <w:rsid w:val="34F82570"/>
    <w:rsid w:val="3518676F"/>
    <w:rsid w:val="35201A23"/>
    <w:rsid w:val="352E500F"/>
    <w:rsid w:val="355434F9"/>
    <w:rsid w:val="35727A6C"/>
    <w:rsid w:val="35843E04"/>
    <w:rsid w:val="35B540D6"/>
    <w:rsid w:val="35BE0BED"/>
    <w:rsid w:val="35C66E2C"/>
    <w:rsid w:val="35CA2312"/>
    <w:rsid w:val="35F76384"/>
    <w:rsid w:val="360F1920"/>
    <w:rsid w:val="361938E0"/>
    <w:rsid w:val="362F5E73"/>
    <w:rsid w:val="36413AA3"/>
    <w:rsid w:val="364C6C07"/>
    <w:rsid w:val="366A124C"/>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377A5"/>
    <w:rsid w:val="3B361C73"/>
    <w:rsid w:val="3B414529"/>
    <w:rsid w:val="3B47240E"/>
    <w:rsid w:val="3B5A188F"/>
    <w:rsid w:val="3B7C2F21"/>
    <w:rsid w:val="3B895CD0"/>
    <w:rsid w:val="3B8A41D3"/>
    <w:rsid w:val="3BC00DC4"/>
    <w:rsid w:val="3C243C4B"/>
    <w:rsid w:val="3C4D6CFE"/>
    <w:rsid w:val="3C651D50"/>
    <w:rsid w:val="3C8666FD"/>
    <w:rsid w:val="3CA523B3"/>
    <w:rsid w:val="3CAF79B9"/>
    <w:rsid w:val="3CF7310E"/>
    <w:rsid w:val="3CFD709B"/>
    <w:rsid w:val="3D0870C9"/>
    <w:rsid w:val="3D3103CE"/>
    <w:rsid w:val="3D4041F2"/>
    <w:rsid w:val="3D6F7148"/>
    <w:rsid w:val="3D734E8A"/>
    <w:rsid w:val="3D805368"/>
    <w:rsid w:val="3D820C29"/>
    <w:rsid w:val="3DB57993"/>
    <w:rsid w:val="3DF132CA"/>
    <w:rsid w:val="3E103B9E"/>
    <w:rsid w:val="3E2829E9"/>
    <w:rsid w:val="3E3C527C"/>
    <w:rsid w:val="3E5113D8"/>
    <w:rsid w:val="3E832EAB"/>
    <w:rsid w:val="3EBE76C5"/>
    <w:rsid w:val="3ECC22A5"/>
    <w:rsid w:val="3EDB2CE7"/>
    <w:rsid w:val="3F1E0E25"/>
    <w:rsid w:val="3F324E7C"/>
    <w:rsid w:val="3F3917BB"/>
    <w:rsid w:val="3F3E1D92"/>
    <w:rsid w:val="3F3E3276"/>
    <w:rsid w:val="3F8C3FE1"/>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A41AB6"/>
    <w:rsid w:val="41B0748D"/>
    <w:rsid w:val="41B873F1"/>
    <w:rsid w:val="41BB6E00"/>
    <w:rsid w:val="41CA6664"/>
    <w:rsid w:val="41CF3C5E"/>
    <w:rsid w:val="41E874E1"/>
    <w:rsid w:val="41FB71FC"/>
    <w:rsid w:val="423257B2"/>
    <w:rsid w:val="42440BA3"/>
    <w:rsid w:val="424D3EFC"/>
    <w:rsid w:val="4253528A"/>
    <w:rsid w:val="425D1BF0"/>
    <w:rsid w:val="426A68F1"/>
    <w:rsid w:val="426B29F2"/>
    <w:rsid w:val="426D375C"/>
    <w:rsid w:val="42754E3B"/>
    <w:rsid w:val="42815953"/>
    <w:rsid w:val="42A35E1F"/>
    <w:rsid w:val="42B6714C"/>
    <w:rsid w:val="42E414A5"/>
    <w:rsid w:val="42ED38B0"/>
    <w:rsid w:val="430239C6"/>
    <w:rsid w:val="430C466C"/>
    <w:rsid w:val="435F025C"/>
    <w:rsid w:val="43676230"/>
    <w:rsid w:val="439730C4"/>
    <w:rsid w:val="442716E3"/>
    <w:rsid w:val="442A3DC9"/>
    <w:rsid w:val="44316131"/>
    <w:rsid w:val="443A04B0"/>
    <w:rsid w:val="445B0426"/>
    <w:rsid w:val="44623B29"/>
    <w:rsid w:val="448259B3"/>
    <w:rsid w:val="44AC6153"/>
    <w:rsid w:val="44C24001"/>
    <w:rsid w:val="44CB7E92"/>
    <w:rsid w:val="44D37FBC"/>
    <w:rsid w:val="44D53D34"/>
    <w:rsid w:val="44D81267"/>
    <w:rsid w:val="44DD1721"/>
    <w:rsid w:val="45014B29"/>
    <w:rsid w:val="45260A34"/>
    <w:rsid w:val="452D3B70"/>
    <w:rsid w:val="45303661"/>
    <w:rsid w:val="4542345E"/>
    <w:rsid w:val="4551727C"/>
    <w:rsid w:val="45653B06"/>
    <w:rsid w:val="45675307"/>
    <w:rsid w:val="4574425A"/>
    <w:rsid w:val="457C0654"/>
    <w:rsid w:val="458B0897"/>
    <w:rsid w:val="458D6DA1"/>
    <w:rsid w:val="458F2670"/>
    <w:rsid w:val="45E82159"/>
    <w:rsid w:val="45ED0F61"/>
    <w:rsid w:val="45FB77CB"/>
    <w:rsid w:val="460C19D8"/>
    <w:rsid w:val="465A0995"/>
    <w:rsid w:val="46767799"/>
    <w:rsid w:val="46B5206F"/>
    <w:rsid w:val="46B8390E"/>
    <w:rsid w:val="46CA0775"/>
    <w:rsid w:val="46D53D73"/>
    <w:rsid w:val="471825FE"/>
    <w:rsid w:val="4727514F"/>
    <w:rsid w:val="47451645"/>
    <w:rsid w:val="475036EC"/>
    <w:rsid w:val="476304E5"/>
    <w:rsid w:val="48221986"/>
    <w:rsid w:val="483D1893"/>
    <w:rsid w:val="4840005F"/>
    <w:rsid w:val="48407E8B"/>
    <w:rsid w:val="48492B5E"/>
    <w:rsid w:val="485633DE"/>
    <w:rsid w:val="486A70F8"/>
    <w:rsid w:val="48941C0A"/>
    <w:rsid w:val="48D016B1"/>
    <w:rsid w:val="48EB621C"/>
    <w:rsid w:val="48EF63BC"/>
    <w:rsid w:val="48F03833"/>
    <w:rsid w:val="49143FE3"/>
    <w:rsid w:val="49410045"/>
    <w:rsid w:val="497B5EAF"/>
    <w:rsid w:val="49891591"/>
    <w:rsid w:val="49BB5BEF"/>
    <w:rsid w:val="49E550B8"/>
    <w:rsid w:val="4A0F1D6B"/>
    <w:rsid w:val="4A304D72"/>
    <w:rsid w:val="4ABD50B2"/>
    <w:rsid w:val="4ADA08DD"/>
    <w:rsid w:val="4AEE5B50"/>
    <w:rsid w:val="4AF53CDA"/>
    <w:rsid w:val="4B302190"/>
    <w:rsid w:val="4B316AE7"/>
    <w:rsid w:val="4B38326F"/>
    <w:rsid w:val="4B4B4D50"/>
    <w:rsid w:val="4B6C26CB"/>
    <w:rsid w:val="4B8D7117"/>
    <w:rsid w:val="4B920BD1"/>
    <w:rsid w:val="4BC863A1"/>
    <w:rsid w:val="4BCD1E1A"/>
    <w:rsid w:val="4C0D05F0"/>
    <w:rsid w:val="4C2F01CE"/>
    <w:rsid w:val="4C327CBE"/>
    <w:rsid w:val="4C336232"/>
    <w:rsid w:val="4C4D68A6"/>
    <w:rsid w:val="4C5440D8"/>
    <w:rsid w:val="4C5B1CC0"/>
    <w:rsid w:val="4C6063F0"/>
    <w:rsid w:val="4CDE25B8"/>
    <w:rsid w:val="4D031C9B"/>
    <w:rsid w:val="4D237C5B"/>
    <w:rsid w:val="4D4C4DB0"/>
    <w:rsid w:val="4D567F0A"/>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F15C0F"/>
    <w:rsid w:val="4F0478A8"/>
    <w:rsid w:val="4F0E4A13"/>
    <w:rsid w:val="4F245FE4"/>
    <w:rsid w:val="4F570614"/>
    <w:rsid w:val="4F7A3E56"/>
    <w:rsid w:val="4F7E3AF1"/>
    <w:rsid w:val="4FAB67F2"/>
    <w:rsid w:val="4FC81DBA"/>
    <w:rsid w:val="4FE062C8"/>
    <w:rsid w:val="4FF260E2"/>
    <w:rsid w:val="50083210"/>
    <w:rsid w:val="501047BA"/>
    <w:rsid w:val="50236B06"/>
    <w:rsid w:val="50493828"/>
    <w:rsid w:val="5051384E"/>
    <w:rsid w:val="50792360"/>
    <w:rsid w:val="507C1E50"/>
    <w:rsid w:val="508D7BB9"/>
    <w:rsid w:val="50932863"/>
    <w:rsid w:val="50A92418"/>
    <w:rsid w:val="50C64757"/>
    <w:rsid w:val="50E04186"/>
    <w:rsid w:val="50FD6AED"/>
    <w:rsid w:val="511A7AB0"/>
    <w:rsid w:val="512E2388"/>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CB3840"/>
    <w:rsid w:val="52D33D8B"/>
    <w:rsid w:val="52DD4E28"/>
    <w:rsid w:val="52EF06B7"/>
    <w:rsid w:val="52F757BE"/>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7F5C64"/>
    <w:rsid w:val="55BD4A9D"/>
    <w:rsid w:val="55CE5FAF"/>
    <w:rsid w:val="55D65B5E"/>
    <w:rsid w:val="55FF50B5"/>
    <w:rsid w:val="56026953"/>
    <w:rsid w:val="563E671E"/>
    <w:rsid w:val="5647080A"/>
    <w:rsid w:val="56695122"/>
    <w:rsid w:val="566B44F9"/>
    <w:rsid w:val="567C6706"/>
    <w:rsid w:val="568D4A8B"/>
    <w:rsid w:val="56AD68BF"/>
    <w:rsid w:val="56E322E1"/>
    <w:rsid w:val="56F72C39"/>
    <w:rsid w:val="57265724"/>
    <w:rsid w:val="5741059C"/>
    <w:rsid w:val="57821C5F"/>
    <w:rsid w:val="5787376C"/>
    <w:rsid w:val="57A1017F"/>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A44AE5"/>
    <w:rsid w:val="59C43179"/>
    <w:rsid w:val="59E21F44"/>
    <w:rsid w:val="59EF7044"/>
    <w:rsid w:val="59FB5B93"/>
    <w:rsid w:val="5A1256BA"/>
    <w:rsid w:val="5A1B2694"/>
    <w:rsid w:val="5A736D06"/>
    <w:rsid w:val="5AB51CCA"/>
    <w:rsid w:val="5AB57322"/>
    <w:rsid w:val="5AB86B82"/>
    <w:rsid w:val="5ABC62B9"/>
    <w:rsid w:val="5ADF7263"/>
    <w:rsid w:val="5AED4C1B"/>
    <w:rsid w:val="5B2D4472"/>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D047455"/>
    <w:rsid w:val="5D656145"/>
    <w:rsid w:val="5D804893"/>
    <w:rsid w:val="5DA53F1B"/>
    <w:rsid w:val="5DA54794"/>
    <w:rsid w:val="5DC63FF9"/>
    <w:rsid w:val="5E96232F"/>
    <w:rsid w:val="5EDA046D"/>
    <w:rsid w:val="5F13397F"/>
    <w:rsid w:val="5F4571B2"/>
    <w:rsid w:val="5F4F2373"/>
    <w:rsid w:val="5F6A078D"/>
    <w:rsid w:val="5F93061C"/>
    <w:rsid w:val="5F9A7BFD"/>
    <w:rsid w:val="5FA23A48"/>
    <w:rsid w:val="5FB36CBE"/>
    <w:rsid w:val="5FC627A0"/>
    <w:rsid w:val="5FD076A0"/>
    <w:rsid w:val="5FD07ABA"/>
    <w:rsid w:val="5FDE7373"/>
    <w:rsid w:val="5FED36FB"/>
    <w:rsid w:val="60561D75"/>
    <w:rsid w:val="606F72DB"/>
    <w:rsid w:val="60A32AE1"/>
    <w:rsid w:val="60B834A6"/>
    <w:rsid w:val="60BC5E8F"/>
    <w:rsid w:val="60C170FF"/>
    <w:rsid w:val="60CC0666"/>
    <w:rsid w:val="610E27AB"/>
    <w:rsid w:val="611511C3"/>
    <w:rsid w:val="61393910"/>
    <w:rsid w:val="614F1476"/>
    <w:rsid w:val="61710A64"/>
    <w:rsid w:val="61750921"/>
    <w:rsid w:val="61C111BB"/>
    <w:rsid w:val="61D84352"/>
    <w:rsid w:val="61DA4AD9"/>
    <w:rsid w:val="61EA6C19"/>
    <w:rsid w:val="61F335F4"/>
    <w:rsid w:val="622F0AD0"/>
    <w:rsid w:val="623D3E1F"/>
    <w:rsid w:val="62540537"/>
    <w:rsid w:val="62626313"/>
    <w:rsid w:val="629D4803"/>
    <w:rsid w:val="62AE498D"/>
    <w:rsid w:val="62ED1A72"/>
    <w:rsid w:val="637F5A87"/>
    <w:rsid w:val="638048A2"/>
    <w:rsid w:val="638A2399"/>
    <w:rsid w:val="63D57455"/>
    <w:rsid w:val="63E84212"/>
    <w:rsid w:val="63EF2CB1"/>
    <w:rsid w:val="63EF49BB"/>
    <w:rsid w:val="63F74842"/>
    <w:rsid w:val="63FF44D2"/>
    <w:rsid w:val="64077840"/>
    <w:rsid w:val="641504F8"/>
    <w:rsid w:val="64601415"/>
    <w:rsid w:val="64774677"/>
    <w:rsid w:val="64AB0CD1"/>
    <w:rsid w:val="64B4350F"/>
    <w:rsid w:val="64C96613"/>
    <w:rsid w:val="64D84E1A"/>
    <w:rsid w:val="64FE564E"/>
    <w:rsid w:val="65312DB1"/>
    <w:rsid w:val="6548252F"/>
    <w:rsid w:val="6558033E"/>
    <w:rsid w:val="656606E0"/>
    <w:rsid w:val="65675ED4"/>
    <w:rsid w:val="657C03FE"/>
    <w:rsid w:val="658C2053"/>
    <w:rsid w:val="65EB11B2"/>
    <w:rsid w:val="66576847"/>
    <w:rsid w:val="66672543"/>
    <w:rsid w:val="6683497C"/>
    <w:rsid w:val="669B2BD8"/>
    <w:rsid w:val="66B21CD0"/>
    <w:rsid w:val="66CD13E8"/>
    <w:rsid w:val="66E872A7"/>
    <w:rsid w:val="676E5CC7"/>
    <w:rsid w:val="67E14BAB"/>
    <w:rsid w:val="67EE0AE5"/>
    <w:rsid w:val="67F71E56"/>
    <w:rsid w:val="683A3D2B"/>
    <w:rsid w:val="684C44B3"/>
    <w:rsid w:val="68880F3A"/>
    <w:rsid w:val="690F1726"/>
    <w:rsid w:val="691922CA"/>
    <w:rsid w:val="69383B20"/>
    <w:rsid w:val="6942765C"/>
    <w:rsid w:val="696E0130"/>
    <w:rsid w:val="69AD3281"/>
    <w:rsid w:val="69D8608D"/>
    <w:rsid w:val="69EC54F9"/>
    <w:rsid w:val="6A260A0B"/>
    <w:rsid w:val="6A2D5CB0"/>
    <w:rsid w:val="6A4D2110"/>
    <w:rsid w:val="6A663992"/>
    <w:rsid w:val="6A7D0A56"/>
    <w:rsid w:val="6AB10CF8"/>
    <w:rsid w:val="6AB51D8E"/>
    <w:rsid w:val="6ABA6C3B"/>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FE27E3"/>
    <w:rsid w:val="6D274D94"/>
    <w:rsid w:val="6D7B2E1B"/>
    <w:rsid w:val="6D8C026B"/>
    <w:rsid w:val="6D955447"/>
    <w:rsid w:val="6D9E0D2D"/>
    <w:rsid w:val="6D9E2EF6"/>
    <w:rsid w:val="6DAD3879"/>
    <w:rsid w:val="6DD01AB0"/>
    <w:rsid w:val="6DD16EDF"/>
    <w:rsid w:val="6DD857F0"/>
    <w:rsid w:val="6DE94229"/>
    <w:rsid w:val="6DEB139F"/>
    <w:rsid w:val="6DF350A8"/>
    <w:rsid w:val="6E160D96"/>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10377E1"/>
    <w:rsid w:val="711F61B4"/>
    <w:rsid w:val="713117D3"/>
    <w:rsid w:val="713F23B2"/>
    <w:rsid w:val="715F2A54"/>
    <w:rsid w:val="716B764B"/>
    <w:rsid w:val="717E112C"/>
    <w:rsid w:val="71817101"/>
    <w:rsid w:val="71943263"/>
    <w:rsid w:val="71A10531"/>
    <w:rsid w:val="71B80224"/>
    <w:rsid w:val="71CF7BDA"/>
    <w:rsid w:val="71DE09E8"/>
    <w:rsid w:val="720B21A0"/>
    <w:rsid w:val="72231CD3"/>
    <w:rsid w:val="72404633"/>
    <w:rsid w:val="72414B2C"/>
    <w:rsid w:val="725956F5"/>
    <w:rsid w:val="72771820"/>
    <w:rsid w:val="72775B5D"/>
    <w:rsid w:val="72CC6418"/>
    <w:rsid w:val="72E163D5"/>
    <w:rsid w:val="73010267"/>
    <w:rsid w:val="730651BF"/>
    <w:rsid w:val="732C1100"/>
    <w:rsid w:val="73400A3E"/>
    <w:rsid w:val="734D2E7F"/>
    <w:rsid w:val="735D7E91"/>
    <w:rsid w:val="737A5923"/>
    <w:rsid w:val="7395275D"/>
    <w:rsid w:val="73CF6471"/>
    <w:rsid w:val="73F118A1"/>
    <w:rsid w:val="74024296"/>
    <w:rsid w:val="74687E72"/>
    <w:rsid w:val="748A428C"/>
    <w:rsid w:val="74956EB9"/>
    <w:rsid w:val="7496678D"/>
    <w:rsid w:val="749E5641"/>
    <w:rsid w:val="74EE7509"/>
    <w:rsid w:val="75143EEA"/>
    <w:rsid w:val="751540E3"/>
    <w:rsid w:val="75157FF9"/>
    <w:rsid w:val="757762DF"/>
    <w:rsid w:val="75D91027"/>
    <w:rsid w:val="75E17719"/>
    <w:rsid w:val="76085468"/>
    <w:rsid w:val="76183CDA"/>
    <w:rsid w:val="764861AD"/>
    <w:rsid w:val="764C0E19"/>
    <w:rsid w:val="76570D9E"/>
    <w:rsid w:val="765A1D4D"/>
    <w:rsid w:val="766308F1"/>
    <w:rsid w:val="76B3503B"/>
    <w:rsid w:val="76B55A6D"/>
    <w:rsid w:val="772B58B2"/>
    <w:rsid w:val="772F009D"/>
    <w:rsid w:val="777E3905"/>
    <w:rsid w:val="777F6544"/>
    <w:rsid w:val="77813724"/>
    <w:rsid w:val="77822AD2"/>
    <w:rsid w:val="779A33A8"/>
    <w:rsid w:val="77E200EB"/>
    <w:rsid w:val="78263FA6"/>
    <w:rsid w:val="783E7867"/>
    <w:rsid w:val="7846297D"/>
    <w:rsid w:val="7859644F"/>
    <w:rsid w:val="78941235"/>
    <w:rsid w:val="78B13B95"/>
    <w:rsid w:val="78E40FA3"/>
    <w:rsid w:val="791E0B39"/>
    <w:rsid w:val="79442C5B"/>
    <w:rsid w:val="79487052"/>
    <w:rsid w:val="79586707"/>
    <w:rsid w:val="79941F77"/>
    <w:rsid w:val="79BE0C60"/>
    <w:rsid w:val="79C218C0"/>
    <w:rsid w:val="79E06FD9"/>
    <w:rsid w:val="79F006ED"/>
    <w:rsid w:val="79F53437"/>
    <w:rsid w:val="7A052A13"/>
    <w:rsid w:val="7A144B1A"/>
    <w:rsid w:val="7A2B3BCE"/>
    <w:rsid w:val="7A7430CC"/>
    <w:rsid w:val="7A80169B"/>
    <w:rsid w:val="7A812132"/>
    <w:rsid w:val="7AAE735F"/>
    <w:rsid w:val="7AC1208A"/>
    <w:rsid w:val="7AC3206E"/>
    <w:rsid w:val="7AC51215"/>
    <w:rsid w:val="7AE446F6"/>
    <w:rsid w:val="7AFF6ACD"/>
    <w:rsid w:val="7B0326A2"/>
    <w:rsid w:val="7B0F54EB"/>
    <w:rsid w:val="7B436E21"/>
    <w:rsid w:val="7B54666E"/>
    <w:rsid w:val="7B5B0429"/>
    <w:rsid w:val="7B615E02"/>
    <w:rsid w:val="7B6B795B"/>
    <w:rsid w:val="7BBC6B0F"/>
    <w:rsid w:val="7BEC1388"/>
    <w:rsid w:val="7BF00E78"/>
    <w:rsid w:val="7BF1357F"/>
    <w:rsid w:val="7C4A2065"/>
    <w:rsid w:val="7C796F1F"/>
    <w:rsid w:val="7C855349"/>
    <w:rsid w:val="7CAA6238"/>
    <w:rsid w:val="7CFE65CC"/>
    <w:rsid w:val="7D085F7C"/>
    <w:rsid w:val="7D0C3A90"/>
    <w:rsid w:val="7D2D6627"/>
    <w:rsid w:val="7D404FB3"/>
    <w:rsid w:val="7D4A7FD6"/>
    <w:rsid w:val="7D8C349D"/>
    <w:rsid w:val="7D8C697F"/>
    <w:rsid w:val="7DA02855"/>
    <w:rsid w:val="7DC73E5B"/>
    <w:rsid w:val="7DC73F51"/>
    <w:rsid w:val="7DE70059"/>
    <w:rsid w:val="7DF32EA2"/>
    <w:rsid w:val="7E071003"/>
    <w:rsid w:val="7E0B1DFF"/>
    <w:rsid w:val="7E134C71"/>
    <w:rsid w:val="7E2352CD"/>
    <w:rsid w:val="7E2A3C98"/>
    <w:rsid w:val="7E5043EB"/>
    <w:rsid w:val="7E604231"/>
    <w:rsid w:val="7EA61CC2"/>
    <w:rsid w:val="7EB34E00"/>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
    <w:name w:val="Quote"/>
    <w:basedOn w:val="1"/>
    <w:next w:val="1"/>
    <w:unhideWhenUsed/>
    <w:qFormat/>
    <w:uiPriority w:val="99"/>
    <w:pPr>
      <w:ind w:left="864" w:right="864"/>
      <w:jc w:val="center"/>
    </w:pPr>
    <w:rPr>
      <w:rFonts w:ascii="Times New Roman" w:hAnsi="Times New Roman"/>
      <w:i/>
      <w:iCs/>
      <w:color w:val="404040"/>
      <w:szCs w:val="21"/>
    </w:rPr>
  </w:style>
  <w:style w:type="paragraph" w:styleId="9">
    <w:name w:val="List 3"/>
    <w:basedOn w:val="1"/>
    <w:qFormat/>
    <w:uiPriority w:val="0"/>
    <w:pPr>
      <w:spacing w:line="240" w:lineRule="auto"/>
      <w:ind w:firstLine="0" w:firstLineChars="0"/>
    </w:pPr>
    <w:rPr>
      <w:szCs w:val="20"/>
    </w:rPr>
  </w:style>
  <w:style w:type="paragraph" w:styleId="10">
    <w:name w:val="annotation text"/>
    <w:basedOn w:val="1"/>
    <w:qFormat/>
    <w:uiPriority w:val="0"/>
    <w:pPr>
      <w:jc w:val="left"/>
    </w:p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2"/>
    <w:qFormat/>
    <w:uiPriority w:val="99"/>
    <w:pPr>
      <w:ind w:firstLine="420" w:firstLineChars="100"/>
    </w:p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6406</Words>
  <Characters>7026</Characters>
  <Lines>1</Lines>
  <Paragraphs>1</Paragraphs>
  <TotalTime>25</TotalTime>
  <ScaleCrop>false</ScaleCrop>
  <LinksUpToDate>false</LinksUpToDate>
  <CharactersWithSpaces>7266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2025-06-15T02:39:00Z</cp:lastPrinted>
  <dcterms:modified xsi:type="dcterms:W3CDTF">2025-08-02T02:26:16Z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1CB5F6FB51414CD6BD4DF564564A4DAA_13</vt:lpwstr>
  </property>
  <property fmtid="{D5CDD505-2E9C-101B-9397-08002B2CF9AE}" pid="4" name="KSOTemplateDocerSaveRecord">
    <vt:lpwstr>eyJoZGlkIjoiN2YzNjBkOTgyNWQ1YTMxYzM3MzMwNWFiODNmOWIzYWMiLCJ1c2VySWQiOiI0MDU4NDYwODgifQ==</vt:lpwstr>
  </property>
</Properties>
</file>