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阜阳处2025年S25徐淮阜高速公路新开通</w:t>
      </w:r>
      <w:bookmarkStart w:id="232" w:name="_GoBack"/>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收费站宿舍家具采购及安装项目</w:t>
      </w:r>
      <w:bookmarkEnd w:id="232"/>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0D3160AD">
      <w:pPr>
        <w:pStyle w:val="2"/>
        <w:rPr>
          <w:rFonts w:ascii="Times New Roman" w:hAnsi="Times New Roman" w:cs="Times New Roman"/>
          <w:color w:val="auto"/>
          <w:szCs w:val="21"/>
          <w:highlight w:val="none"/>
        </w:rPr>
      </w:pPr>
    </w:p>
    <w:p w14:paraId="6B3871F8">
      <w:pPr>
        <w:rPr>
          <w:color w:val="auto"/>
          <w:highlight w:val="none"/>
        </w:rPr>
      </w:pPr>
    </w:p>
    <w:p w14:paraId="28B17120">
      <w:pPr>
        <w:pStyle w:val="2"/>
        <w:rPr>
          <w:rFonts w:ascii="Times New Roman" w:hAnsi="Times New Roman" w:cs="Times New Roman"/>
          <w:color w:val="auto"/>
          <w:szCs w:val="21"/>
          <w:highlight w:val="none"/>
        </w:rPr>
      </w:pPr>
    </w:p>
    <w:p w14:paraId="3E23AC69">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9</w:t>
      </w:r>
      <w:r>
        <w:rPr>
          <w:rFonts w:hint="eastAsia" w:ascii="黑体" w:hAnsi="黑体" w:eastAsia="黑体" w:cs="黑体"/>
          <w:color w:val="auto"/>
          <w:sz w:val="32"/>
          <w:szCs w:val="32"/>
          <w:highlight w:val="none"/>
        </w:rPr>
        <w:t>月</w:t>
      </w:r>
    </w:p>
    <w:p w14:paraId="76D6F35A">
      <w:pPr>
        <w:pStyle w:val="2"/>
        <w:rPr>
          <w:rFonts w:hint="eastAsia" w:ascii="黑体" w:hAnsi="黑体" w:eastAsia="黑体" w:cs="黑体"/>
          <w:color w:val="auto"/>
          <w:sz w:val="32"/>
          <w:szCs w:val="32"/>
          <w:highlight w:val="none"/>
        </w:rPr>
      </w:pPr>
    </w:p>
    <w:p w14:paraId="02CB63D9">
      <w:pPr>
        <w:pStyle w:val="3"/>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65D24B2A">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_Toc19270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_Toc19270 \h </w:instrText>
          </w:r>
          <w:r>
            <w:fldChar w:fldCharType="separate"/>
          </w:r>
          <w:r>
            <w:t>3</w:t>
          </w:r>
          <w:r>
            <w:fldChar w:fldCharType="end"/>
          </w:r>
          <w:r>
            <w:rPr>
              <w:rFonts w:hint="eastAsia" w:ascii="宋体" w:hAnsi="宋体" w:eastAsia="宋体" w:cs="宋体"/>
              <w:color w:val="auto"/>
              <w:szCs w:val="24"/>
              <w:highlight w:val="none"/>
            </w:rPr>
            <w:fldChar w:fldCharType="end"/>
          </w:r>
        </w:p>
        <w:p w14:paraId="3C6FD51A">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_Toc21505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应商须知</w:t>
          </w:r>
          <w:r>
            <w:tab/>
          </w:r>
          <w:r>
            <w:fldChar w:fldCharType="begin"/>
          </w:r>
          <w:r>
            <w:instrText xml:space="preserve"> PAGEREF _Toc21505 \h </w:instrText>
          </w:r>
          <w:r>
            <w:fldChar w:fldCharType="separate"/>
          </w:r>
          <w:r>
            <w:t>6</w:t>
          </w:r>
          <w:r>
            <w:fldChar w:fldCharType="end"/>
          </w:r>
          <w:r>
            <w:rPr>
              <w:rFonts w:hint="eastAsia" w:ascii="宋体" w:hAnsi="宋体" w:eastAsia="宋体" w:cs="宋体"/>
              <w:color w:val="auto"/>
              <w:szCs w:val="24"/>
              <w:highlight w:val="none"/>
            </w:rPr>
            <w:fldChar w:fldCharType="end"/>
          </w:r>
        </w:p>
        <w:p w14:paraId="340471F4">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_Toc10046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_Toc10046 \h </w:instrText>
          </w:r>
          <w:r>
            <w:fldChar w:fldCharType="separate"/>
          </w:r>
          <w:r>
            <w:t>17</w:t>
          </w:r>
          <w:r>
            <w:fldChar w:fldCharType="end"/>
          </w:r>
          <w:r>
            <w:rPr>
              <w:rFonts w:hint="eastAsia" w:ascii="宋体" w:hAnsi="宋体" w:eastAsia="宋体" w:cs="宋体"/>
              <w:color w:val="auto"/>
              <w:szCs w:val="24"/>
              <w:highlight w:val="none"/>
            </w:rPr>
            <w:fldChar w:fldCharType="end"/>
          </w:r>
        </w:p>
        <w:p w14:paraId="289F95BD">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_Toc30892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_Toc30892 \h </w:instrText>
          </w:r>
          <w:r>
            <w:fldChar w:fldCharType="separate"/>
          </w:r>
          <w:r>
            <w:t>25</w:t>
          </w:r>
          <w:r>
            <w:fldChar w:fldCharType="end"/>
          </w:r>
          <w:r>
            <w:rPr>
              <w:rFonts w:hint="eastAsia" w:ascii="宋体" w:hAnsi="宋体" w:eastAsia="宋体" w:cs="宋体"/>
              <w:color w:val="auto"/>
              <w:szCs w:val="24"/>
              <w:highlight w:val="none"/>
            </w:rPr>
            <w:fldChar w:fldCharType="end"/>
          </w:r>
        </w:p>
        <w:p w14:paraId="0C8CE699">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_Toc10402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_Toc10402 \h </w:instrText>
          </w:r>
          <w:r>
            <w:fldChar w:fldCharType="separate"/>
          </w:r>
          <w:r>
            <w:t>43</w:t>
          </w:r>
          <w:r>
            <w:fldChar w:fldCharType="end"/>
          </w:r>
          <w:r>
            <w:rPr>
              <w:rFonts w:hint="eastAsia" w:ascii="宋体" w:hAnsi="宋体" w:eastAsia="宋体" w:cs="宋体"/>
              <w:color w:val="auto"/>
              <w:szCs w:val="24"/>
              <w:highlight w:val="none"/>
            </w:rPr>
            <w:fldChar w:fldCharType="end"/>
          </w:r>
        </w:p>
        <w:p w14:paraId="27A5931D">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_Toc23283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_Toc23283 \h </w:instrText>
          </w:r>
          <w:r>
            <w:fldChar w:fldCharType="separate"/>
          </w:r>
          <w:r>
            <w:t>44</w:t>
          </w:r>
          <w:r>
            <w:fldChar w:fldCharType="end"/>
          </w:r>
          <w:r>
            <w:rPr>
              <w:rFonts w:hint="eastAsia" w:ascii="宋体" w:hAnsi="宋体" w:eastAsia="宋体" w:cs="宋体"/>
              <w:color w:val="auto"/>
              <w:szCs w:val="24"/>
              <w:highlight w:val="none"/>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19270"/>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24354_WPSOffice_Level2"/>
      <w:bookmarkStart w:id="2" w:name="_Toc4489_WPSOffice_Level2"/>
      <w:bookmarkStart w:id="3" w:name="_Toc525632585"/>
      <w:bookmarkStart w:id="4" w:name="_Toc12765"/>
      <w:bookmarkStart w:id="5" w:name="_Toc6496_WPSOffice_Level2"/>
      <w:bookmarkStart w:id="6" w:name="_Toc10395_WPSOffice_Level2"/>
      <w:bookmarkStart w:id="7" w:name="_Toc13871"/>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阜阳处2025年S25徐淮阜高速公路新开通收费站宿舍家具采购及安装项目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 w:val="21"/>
          <w:szCs w:val="21"/>
          <w:highlight w:val="none"/>
          <w:u w:val="single"/>
          <w:lang w:val="en-US" w:eastAsia="zh-CN"/>
        </w:rPr>
        <w:t>本</w:t>
      </w:r>
      <w:r>
        <w:rPr>
          <w:rFonts w:hint="default" w:ascii="Times New Roman" w:hAnsi="Times New Roman" w:eastAsia="宋体" w:cs="Times New Roman"/>
          <w:color w:val="auto"/>
          <w:sz w:val="21"/>
          <w:szCs w:val="21"/>
          <w:highlight w:val="none"/>
          <w:u w:val="single"/>
          <w:lang w:val="en-US" w:eastAsia="zh-CN"/>
        </w:rPr>
        <w:t>项目为徐淮阜高速</w:t>
      </w:r>
      <w:r>
        <w:rPr>
          <w:rFonts w:hint="eastAsia" w:ascii="Times New Roman" w:hAnsi="Times New Roman" w:eastAsia="宋体" w:cs="Times New Roman"/>
          <w:color w:val="auto"/>
          <w:sz w:val="21"/>
          <w:szCs w:val="21"/>
          <w:highlight w:val="none"/>
          <w:u w:val="single"/>
          <w:lang w:val="en-US" w:eastAsia="zh-CN"/>
        </w:rPr>
        <w:t>（阜阳段）新开通收费站（阜阳北、太和赵集收费站）公寓楼家具</w:t>
      </w:r>
      <w:r>
        <w:rPr>
          <w:rFonts w:hint="default" w:ascii="Times New Roman" w:hAnsi="Times New Roman" w:eastAsia="宋体" w:cs="Times New Roman"/>
          <w:color w:val="auto"/>
          <w:sz w:val="21"/>
          <w:szCs w:val="21"/>
          <w:highlight w:val="none"/>
          <w:u w:val="single"/>
          <w:lang w:val="en-US" w:eastAsia="zh-CN"/>
        </w:rPr>
        <w:t>采购</w:t>
      </w:r>
      <w:r>
        <w:rPr>
          <w:rFonts w:hint="default" w:ascii="Times New Roman" w:hAnsi="Times New Roman" w:eastAsia="宋体" w:cs="Times New Roman"/>
          <w:color w:val="auto"/>
          <w:kern w:val="0"/>
          <w:sz w:val="21"/>
          <w:szCs w:val="21"/>
          <w:highlight w:val="none"/>
          <w:u w:val="none"/>
          <w:lang w:eastAsia="zh-CN"/>
        </w:rPr>
        <w:t>。</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8453"/>
      <w:bookmarkStart w:id="9" w:name="_Toc18367_WPSOffice_Level2"/>
      <w:bookmarkStart w:id="10" w:name="_Toc10274"/>
      <w:bookmarkStart w:id="11" w:name="_Toc8128_WPSOffice_Level2"/>
      <w:bookmarkStart w:id="12" w:name="_Toc23266_WPSOffice_Level2"/>
      <w:bookmarkStart w:id="13" w:name="_Toc525632586"/>
      <w:bookmarkStart w:id="14" w:name="_Toc1785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w:t>
      </w:r>
      <w:r>
        <w:rPr>
          <w:rFonts w:hint="eastAsia" w:ascii="Times New Roman" w:hAnsi="Times New Roman" w:eastAsia="宋体" w:cs="Times New Roman"/>
          <w:color w:val="auto"/>
          <w:szCs w:val="21"/>
          <w:highlight w:val="none"/>
          <w:u w:val="single"/>
          <w:lang w:val="en-US" w:eastAsia="zh-CN"/>
        </w:rPr>
        <w:t>采购需求</w:t>
      </w:r>
      <w:r>
        <w:rPr>
          <w:rFonts w:hint="default" w:ascii="Times New Roman" w:hAnsi="Times New Roman" w:eastAsia="宋体" w:cs="Times New Roman"/>
          <w:color w:val="auto"/>
          <w:szCs w:val="21"/>
          <w:highlight w:val="none"/>
          <w:u w:val="single"/>
          <w:lang w:val="en-US" w:eastAsia="zh-CN"/>
        </w:rPr>
        <w:t>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default" w:ascii="Times New Roman" w:hAnsi="Times New Roman" w:eastAsia="宋体" w:cs="Times New Roman"/>
          <w:color w:val="auto"/>
          <w:szCs w:val="21"/>
          <w:highlight w:val="none"/>
          <w:u w:val="single"/>
          <w:lang w:val="en-US" w:eastAsia="zh-CN"/>
        </w:rPr>
        <w:t>详见</w:t>
      </w:r>
      <w:r>
        <w:rPr>
          <w:rFonts w:hint="eastAsia" w:ascii="宋体" w:hAnsi="宋体" w:eastAsia="宋体" w:cs="宋体"/>
          <w:color w:val="auto"/>
          <w:szCs w:val="21"/>
          <w:highlight w:val="none"/>
          <w:u w:val="single"/>
          <w:lang w:val="en-US" w:eastAsia="zh-CN"/>
        </w:rPr>
        <w:t xml:space="preserve">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人民币32.4万元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rPr>
        <w:t>接甲方通知之日起15天</w:t>
      </w:r>
      <w:r>
        <w:rPr>
          <w:rFonts w:hint="eastAsia" w:ascii="Times New Roman" w:hAnsi="Times New Roman" w:eastAsia="宋体" w:cs="Times New Roman"/>
          <w:color w:val="auto"/>
          <w:szCs w:val="21"/>
          <w:highlight w:val="none"/>
          <w:u w:val="single"/>
          <w:lang w:val="en-US" w:eastAsia="zh-CN"/>
        </w:rPr>
        <w:t>内</w:t>
      </w:r>
      <w:r>
        <w:rPr>
          <w:rFonts w:hint="default" w:ascii="Times New Roman" w:hAnsi="Times New Roman" w:eastAsia="宋体" w:cs="Times New Roman"/>
          <w:color w:val="auto"/>
          <w:szCs w:val="21"/>
          <w:highlight w:val="none"/>
          <w:u w:val="single"/>
        </w:rPr>
        <w:t>货到现场</w:t>
      </w:r>
      <w:r>
        <w:rPr>
          <w:rFonts w:hint="eastAsia" w:ascii="Times New Roman" w:hAnsi="Times New Roman" w:eastAsia="宋体" w:cs="Times New Roman"/>
          <w:color w:val="auto"/>
          <w:szCs w:val="21"/>
          <w:highlight w:val="none"/>
          <w:u w:val="single"/>
          <w:lang w:val="en-US" w:eastAsia="zh-CN"/>
        </w:rPr>
        <w:t>并安装完成</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 w:val="21"/>
          <w:szCs w:val="21"/>
          <w:highlight w:val="none"/>
          <w:u w:val="single"/>
          <w:lang w:val="en-US" w:eastAsia="zh-CN"/>
        </w:rPr>
        <w:t>阜阳北、太和赵集收费站，</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家具类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6DFB3B4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Times New Roman"/>
          <w:b w:val="0"/>
          <w:bCs w:val="0"/>
          <w:color w:val="auto"/>
          <w:sz w:val="21"/>
          <w:szCs w:val="24"/>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25666_WPSOffice_Level2"/>
      <w:bookmarkStart w:id="19" w:name="_Toc4109_WPSOffice_Level2"/>
      <w:bookmarkStart w:id="20" w:name="_Toc29452_WPSOffice_Level2"/>
      <w:bookmarkStart w:id="21" w:name="_Toc1994"/>
      <w:bookmarkStart w:id="22" w:name="_Toc525632588"/>
      <w:bookmarkStart w:id="23" w:name="_Toc2996_WPSOffice_Level2"/>
      <w:bookmarkStart w:id="24" w:name="_Toc4751"/>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525632591"/>
      <w:bookmarkStart w:id="28" w:name="_Toc22719"/>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9</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19</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22B0FA7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661636F0">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付款备注：阜阳S25徐淮阜家具响应保证金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w:t>
      </w:r>
      <w:r>
        <w:rPr>
          <w:rFonts w:hint="eastAsia" w:ascii="宋体" w:hAnsi="宋体" w:cs="宋体"/>
          <w:b/>
          <w:color w:val="auto"/>
          <w:sz w:val="21"/>
          <w:szCs w:val="21"/>
          <w:highlight w:val="none"/>
          <w:u w:val="single"/>
          <w:lang w:val="en-US" w:eastAsia="zh-CN" w:bidi="ar"/>
        </w:rPr>
        <w:t>2%</w:t>
      </w:r>
      <w:r>
        <w:rPr>
          <w:rFonts w:hint="eastAsia" w:ascii="宋体" w:hAnsi="宋体" w:cs="宋体"/>
          <w:b/>
          <w:color w:val="auto"/>
          <w:sz w:val="21"/>
          <w:szCs w:val="21"/>
          <w:highlight w:val="none"/>
          <w:lang w:val="en-US" w:eastAsia="zh-CN" w:bidi="ar"/>
        </w:rPr>
        <w:t>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w:t>
      </w:r>
      <w:r>
        <w:rPr>
          <w:rFonts w:hint="eastAsia" w:ascii="宋体" w:hAnsi="宋体" w:cs="宋体"/>
          <w:b/>
          <w:color w:val="auto"/>
          <w:sz w:val="21"/>
          <w:szCs w:val="21"/>
          <w:highlight w:val="none"/>
          <w:u w:val="single"/>
          <w:lang w:val="en-US" w:eastAsia="zh-CN" w:bidi="ar"/>
        </w:rPr>
        <w:t>5%</w:t>
      </w:r>
      <w:r>
        <w:rPr>
          <w:rFonts w:hint="eastAsia" w:ascii="宋体" w:hAnsi="宋体" w:cs="宋体"/>
          <w:b/>
          <w:color w:val="auto"/>
          <w:sz w:val="21"/>
          <w:szCs w:val="21"/>
          <w:highlight w:val="none"/>
          <w:lang w:val="en-US" w:eastAsia="zh-CN" w:bidi="ar"/>
        </w:rPr>
        <w:t>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8501"/>
      <w:bookmarkStart w:id="30" w:name="_Toc321_WPSOffice_Level2"/>
      <w:bookmarkStart w:id="31" w:name="_Toc28571_WPSOffice_Level2"/>
      <w:bookmarkStart w:id="32" w:name="_Toc525632592"/>
      <w:bookmarkStart w:id="33" w:name="_Toc14943_WPSOffice_Level2"/>
      <w:bookmarkStart w:id="34" w:name="_Toc20572_WPSOffice_Level2"/>
      <w:bookmarkStart w:id="35" w:name="_Toc26829"/>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67DD1B2B">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EB2EA2">
      <w:pPr>
        <w:pStyle w:val="5"/>
        <w:spacing w:before="312" w:after="312"/>
        <w:rPr>
          <w:rFonts w:ascii="Times New Roman" w:hAnsi="Times New Roman" w:eastAsia="宋体" w:cs="Times New Roman"/>
          <w:color w:val="auto"/>
          <w:highlight w:val="none"/>
        </w:rPr>
      </w:pPr>
      <w:bookmarkStart w:id="36" w:name="_Toc21505"/>
      <w:r>
        <w:rPr>
          <w:rFonts w:ascii="Times New Roman" w:hAnsi="Times New Roman" w:eastAsia="宋体" w:cs="Times New Roman"/>
          <w:color w:val="auto"/>
          <w:highlight w:val="none"/>
        </w:rPr>
        <w:t>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29381_WPSOffice_Level2"/>
      <w:bookmarkStart w:id="38" w:name="_Toc19501"/>
      <w:bookmarkStart w:id="39" w:name="_Toc16069"/>
      <w:bookmarkStart w:id="40" w:name="_Toc55466811"/>
      <w:bookmarkStart w:id="41" w:name="_Toc26656928"/>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cs="宋体"/>
                <w:color w:val="auto"/>
                <w:sz w:val="22"/>
                <w:szCs w:val="22"/>
                <w:highlight w:val="none"/>
                <w:u w:val="single"/>
                <w:lang w:val="en-US" w:eastAsia="zh-CN"/>
              </w:rPr>
              <w:t>2022</w:t>
            </w:r>
            <w:r>
              <w:rPr>
                <w:rFonts w:hint="eastAsia" w:ascii="宋体" w:hAnsi="宋体" w:cs="宋体"/>
                <w:color w:val="auto"/>
                <w:sz w:val="22"/>
                <w:szCs w:val="22"/>
                <w:highlight w:val="none"/>
              </w:rPr>
              <w:t>年</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w:t>
            </w:r>
            <w:r>
              <w:rPr>
                <w:rFonts w:hint="eastAsia" w:ascii="宋体" w:hAnsi="宋体" w:cs="宋体"/>
                <w:color w:val="auto"/>
                <w:sz w:val="22"/>
                <w:szCs w:val="22"/>
                <w:highlight w:val="none"/>
              </w:rPr>
              <w:t>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密封情况检查：宣布评审后，供应商代表互检响应文件密封及递交情况，并就检查结果明确意见。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评审</w:t>
            </w:r>
            <w:r>
              <w:rPr>
                <w:rFonts w:hint="default"/>
                <w:color w:val="auto"/>
                <w:sz w:val="22"/>
                <w:szCs w:val="22"/>
                <w:highlight w:val="none"/>
              </w:rPr>
              <w:t>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w:t>
            </w:r>
            <w:r>
              <w:rPr>
                <w:rFonts w:hint="eastAsia"/>
                <w:color w:val="auto"/>
                <w:sz w:val="22"/>
                <w:szCs w:val="22"/>
                <w:highlight w:val="none"/>
                <w:lang w:val="en-US" w:eastAsia="zh-CN"/>
              </w:rPr>
              <w:t>审</w:t>
            </w:r>
            <w:r>
              <w:rPr>
                <w:rFonts w:hint="default"/>
                <w:color w:val="auto"/>
                <w:sz w:val="22"/>
                <w:szCs w:val="22"/>
                <w:highlight w:val="none"/>
              </w:rPr>
              <w:t>专家确定方式：符合规定的评</w:t>
            </w:r>
            <w:r>
              <w:rPr>
                <w:rFonts w:hint="eastAsia"/>
                <w:color w:val="auto"/>
                <w:sz w:val="22"/>
                <w:szCs w:val="22"/>
                <w:highlight w:val="none"/>
                <w:lang w:val="en-US" w:eastAsia="zh-CN"/>
              </w:rPr>
              <w:t>审</w:t>
            </w:r>
            <w:r>
              <w:rPr>
                <w:rFonts w:hint="default"/>
                <w:color w:val="auto"/>
                <w:sz w:val="22"/>
                <w:szCs w:val="22"/>
                <w:highlight w:val="none"/>
              </w:rPr>
              <w:t>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w:t>
            </w:r>
            <w:r>
              <w:rPr>
                <w:rFonts w:hint="eastAsia"/>
                <w:color w:val="auto"/>
                <w:sz w:val="22"/>
                <w:szCs w:val="22"/>
                <w:highlight w:val="none"/>
                <w:lang w:val="en-US" w:eastAsia="zh-CN"/>
              </w:rPr>
              <w:t>审</w:t>
            </w:r>
            <w:r>
              <w:rPr>
                <w:rFonts w:hint="eastAsia"/>
                <w:color w:val="auto"/>
                <w:sz w:val="22"/>
                <w:szCs w:val="22"/>
                <w:highlight w:val="none"/>
              </w:rPr>
              <w:t>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lang w:val="en-US" w:eastAsia="zh-CN"/>
              </w:rPr>
              <w:t>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5D80C0AA">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拟成交人须在采购人通知之日起</w:t>
            </w:r>
            <w:r>
              <w:rPr>
                <w:rFonts w:hint="eastAsia" w:ascii="宋体" w:hAnsi="宋体" w:eastAsia="宋体" w:cs="宋体"/>
                <w:color w:val="auto"/>
                <w:sz w:val="22"/>
                <w:szCs w:val="22"/>
                <w:highlight w:val="yellow"/>
                <w:u w:val="single"/>
                <w:lang w:val="en-US" w:eastAsia="zh-CN"/>
              </w:rPr>
              <w:t>3</w:t>
            </w:r>
            <w:r>
              <w:rPr>
                <w:rFonts w:hint="eastAsia" w:ascii="宋体" w:hAnsi="宋体" w:eastAsia="宋体" w:cs="宋体"/>
                <w:color w:val="auto"/>
                <w:sz w:val="22"/>
                <w:szCs w:val="22"/>
                <w:highlight w:val="yellow"/>
                <w:lang w:val="en-US" w:eastAsia="zh-CN"/>
              </w:rPr>
              <w:t xml:space="preserve">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w:t>
            </w:r>
            <w:r>
              <w:rPr>
                <w:rFonts w:hint="eastAsia"/>
                <w:color w:val="auto"/>
                <w:spacing w:val="-3"/>
                <w:kern w:val="0"/>
                <w:sz w:val="22"/>
                <w:szCs w:val="22"/>
                <w:highlight w:val="none"/>
                <w:lang w:val="en-US" w:eastAsia="zh-CN"/>
              </w:rPr>
              <w:t>审</w:t>
            </w:r>
            <w:r>
              <w:rPr>
                <w:rFonts w:hint="default"/>
                <w:color w:val="auto"/>
                <w:spacing w:val="-3"/>
                <w:kern w:val="0"/>
                <w:sz w:val="22"/>
                <w:szCs w:val="22"/>
                <w:highlight w:val="none"/>
              </w:rPr>
              <w:t>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14201207"/>
            <w:bookmarkStart w:id="43" w:name="_Toc26656938"/>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日以来，单项合同额不低于</w:t>
            </w:r>
            <w:r>
              <w:rPr>
                <w:rFonts w:hint="eastAsia"/>
                <w:color w:val="auto"/>
                <w:highlight w:val="none"/>
                <w:u w:val="single"/>
                <w:lang w:val="en-US" w:eastAsia="zh-CN"/>
              </w:rPr>
              <w:t>15</w:t>
            </w:r>
            <w:r>
              <w:rPr>
                <w:rFonts w:hint="eastAsia"/>
                <w:color w:val="auto"/>
                <w:highlight w:val="none"/>
                <w:lang w:val="en-US" w:eastAsia="zh-CN"/>
              </w:rPr>
              <w:t>万元的</w:t>
            </w:r>
            <w:r>
              <w:rPr>
                <w:rFonts w:hint="eastAsia"/>
                <w:color w:val="auto"/>
                <w:highlight w:val="none"/>
                <w:u w:val="single"/>
                <w:lang w:val="en-US" w:eastAsia="zh-CN"/>
              </w:rPr>
              <w:t>家具类</w:t>
            </w:r>
            <w:r>
              <w:rPr>
                <w:rFonts w:hint="eastAsia"/>
                <w:color w:val="auto"/>
                <w:highlight w:val="none"/>
                <w:lang w:val="en-US" w:eastAsia="zh-CN"/>
              </w:rPr>
              <w:t>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2"/>
        <w:rPr>
          <w:rFonts w:hint="eastAsia"/>
          <w:color w:val="auto"/>
        </w:rPr>
      </w:pPr>
    </w:p>
    <w:p w14:paraId="43ED56AD">
      <w:pPr>
        <w:jc w:val="both"/>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生产体系认证；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w:t>
      </w:r>
      <w:r>
        <w:rPr>
          <w:rFonts w:hint="eastAsia" w:ascii="Times New Roman" w:hAnsi="Times New Roman" w:cs="Times New Roman"/>
          <w:color w:val="auto"/>
          <w:highlight w:val="none"/>
          <w:u w:val="single"/>
          <w:lang w:val="en-US" w:eastAsia="zh-CN"/>
        </w:rPr>
        <w:t>5%</w:t>
      </w:r>
      <w:r>
        <w:rPr>
          <w:rFonts w:hint="eastAsia" w:ascii="Times New Roman" w:hAnsi="Times New Roman" w:cs="Times New Roman"/>
          <w:color w:val="auto"/>
          <w:highlight w:val="none"/>
          <w:lang w:val="en-US" w:eastAsia="zh-CN"/>
        </w:rPr>
        <w:t>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26656984"/>
      <w:bookmarkStart w:id="46" w:name="_Toc14201253"/>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14201257"/>
      <w:bookmarkStart w:id="48" w:name="_Toc9067727"/>
      <w:bookmarkStart w:id="49" w:name="_Toc26656988"/>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14201263"/>
      <w:bookmarkStart w:id="53" w:name="_Toc9067731"/>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10046"/>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44974496"/>
      <w:bookmarkStart w:id="57" w:name="_Toc14847"/>
      <w:bookmarkStart w:id="58" w:name="_Toc152045528"/>
      <w:bookmarkStart w:id="59" w:name="_Toc447808662"/>
      <w:bookmarkStart w:id="60" w:name="_Toc3834"/>
      <w:bookmarkStart w:id="61" w:name="_Toc457482536"/>
      <w:bookmarkStart w:id="62" w:name="_Toc152042304"/>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委员会按评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价相等时，评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5</w:t>
            </w:r>
            <w:r>
              <w:rPr>
                <w:rFonts w:hint="eastAsia" w:ascii="宋体" w:hAnsi="宋体" w:cs="宋体"/>
                <w:color w:val="auto"/>
                <w:sz w:val="21"/>
                <w:szCs w:val="24"/>
                <w:highlight w:val="none"/>
                <w:u w:val="single"/>
              </w:rPr>
              <w:t xml:space="preserve">0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24</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生产体系认证：</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1</w:t>
            </w:r>
            <w:r>
              <w:rPr>
                <w:rFonts w:hint="eastAsia" w:ascii="宋体" w:hAnsi="宋体" w:cs="宋体"/>
                <w:color w:val="auto"/>
                <w:sz w:val="21"/>
                <w:szCs w:val="24"/>
                <w:highlight w:val="none"/>
                <w:u w:val="single"/>
                <w:lang w:val="en-US" w:eastAsia="zh-CN"/>
              </w:rPr>
              <w:t xml:space="preserve">0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①如响应人的评审价低于评审价平均值的90%时，采购人可以在评审现场要求该响应人作出情况说明并提供相应降低工程造价的相关证明材料，参照附表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②异常低价或不平衡报价，采购人有权作废除响应资格处理。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低工程造价的相关证明材料，以避免错过要求澄清时间，造成的不良后果由响应人自行承担。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2)以下情形不得作为要求澄清或报价文件中提供异常低价响应说明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审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7"/>
        <w:gridCol w:w="932"/>
        <w:gridCol w:w="1661"/>
        <w:gridCol w:w="5525"/>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87"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18"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23"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70"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87"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18"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23" w:type="pct"/>
            <w:vAlign w:val="center"/>
          </w:tcPr>
          <w:p w14:paraId="62D7CE1F">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0" w:type="pct"/>
            <w:vAlign w:val="center"/>
          </w:tcPr>
          <w:p w14:paraId="003C586F">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eastAsia" w:ascii="宋体" w:hAnsi="宋体" w:cs="宋体"/>
                <w:color w:val="auto"/>
                <w:sz w:val="21"/>
                <w:szCs w:val="24"/>
                <w:highlight w:val="none"/>
              </w:rPr>
              <w:t>（以合同签订时间为准），除供应商资审条件要求的业绩得</w:t>
            </w:r>
            <w:r>
              <w:rPr>
                <w:rFonts w:hint="eastAsia" w:ascii="宋体" w:hAnsi="宋体" w:cs="宋体"/>
                <w:color w:val="auto"/>
                <w:sz w:val="21"/>
                <w:szCs w:val="24"/>
                <w:highlight w:val="none"/>
                <w:lang w:val="en-US" w:eastAsia="zh-CN"/>
              </w:rPr>
              <w:t>35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15</w:t>
            </w:r>
            <w:r>
              <w:rPr>
                <w:rFonts w:hint="eastAsia" w:ascii="宋体" w:hAnsi="宋体" w:cs="宋体"/>
                <w:color w:val="auto"/>
                <w:sz w:val="21"/>
                <w:szCs w:val="24"/>
                <w:highlight w:val="none"/>
              </w:rPr>
              <w:t>万及以上的</w:t>
            </w:r>
            <w:r>
              <w:rPr>
                <w:rFonts w:hint="eastAsia" w:ascii="宋体" w:hAnsi="宋体" w:cs="宋体"/>
                <w:color w:val="auto"/>
                <w:sz w:val="21"/>
                <w:szCs w:val="24"/>
                <w:highlight w:val="none"/>
                <w:u w:val="single"/>
                <w:lang w:val="en-US" w:eastAsia="zh-CN"/>
              </w:rPr>
              <w:t xml:space="preserve">       </w:t>
            </w:r>
            <w:r>
              <w:rPr>
                <w:rFonts w:hint="eastAsia" w:ascii="宋体" w:hAnsi="宋体" w:cs="宋体"/>
                <w:color w:val="auto"/>
                <w:sz w:val="21"/>
                <w:szCs w:val="24"/>
                <w:highlight w:val="none"/>
                <w:u w:val="none"/>
                <w:lang w:val="en-US" w:eastAsia="zh-CN"/>
              </w:rPr>
              <w:t>家具类</w:t>
            </w:r>
            <w:r>
              <w:rPr>
                <w:rFonts w:hint="eastAsia" w:ascii="宋体" w:hAnsi="宋体" w:cs="宋体"/>
                <w:color w:val="auto"/>
                <w:sz w:val="21"/>
                <w:szCs w:val="24"/>
                <w:highlight w:val="none"/>
                <w:u w:val="none"/>
              </w:rPr>
              <w:t>的</w:t>
            </w:r>
            <w:r>
              <w:rPr>
                <w:rFonts w:hint="eastAsia" w:ascii="宋体" w:hAnsi="宋体" w:cs="宋体"/>
                <w:color w:val="auto"/>
                <w:sz w:val="21"/>
                <w:szCs w:val="24"/>
                <w:highlight w:val="none"/>
                <w:u w:val="none"/>
                <w:lang w:val="en-US" w:eastAsia="zh-CN"/>
              </w:rPr>
              <w:t>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50</w:t>
            </w:r>
            <w:r>
              <w:rPr>
                <w:rFonts w:hint="eastAsia" w:ascii="宋体" w:hAnsi="宋体" w:cs="宋体"/>
                <w:color w:val="auto"/>
                <w:sz w:val="21"/>
                <w:szCs w:val="24"/>
                <w:highlight w:val="none"/>
              </w:rPr>
              <w:t>分。</w:t>
            </w:r>
          </w:p>
          <w:p w14:paraId="1679D332">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87"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8"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3" w:type="pct"/>
            <w:vAlign w:val="center"/>
          </w:tcPr>
          <w:p w14:paraId="2BCA433A">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0"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9C1D5BD">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3943130">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10"/>
              <w:keepNext w:val="0"/>
              <w:keepLines w:val="0"/>
              <w:suppressLineNumbers w:val="0"/>
              <w:spacing w:before="0" w:beforeAutospacing="0" w:after="0" w:afterAutospacing="0"/>
              <w:ind w:left="0" w:right="0"/>
              <w:rPr>
                <w:rFonts w:hint="eastAsia"/>
                <w:color w:val="auto"/>
                <w:highlight w:val="yellow"/>
                <w:lang w:eastAsia="zh-CN"/>
              </w:rPr>
            </w:pPr>
            <w:r>
              <w:rPr>
                <w:rFonts w:hint="eastAsia"/>
                <w:color w:val="auto"/>
                <w:highlight w:val="yellow"/>
                <w:lang w:val="en-US" w:eastAsia="zh-CN"/>
              </w:rPr>
              <w:t>注：经销商/代理商参与的需要提供产品生产厂家授权文件。</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87"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8"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3" w:type="pct"/>
            <w:vAlign w:val="center"/>
          </w:tcPr>
          <w:p w14:paraId="188F7F47">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生产</w:t>
            </w:r>
            <w:r>
              <w:rPr>
                <w:rFonts w:hint="eastAsia" w:ascii="宋体" w:hAnsi="宋体" w:cs="宋体"/>
                <w:color w:val="auto"/>
                <w:spacing w:val="-1"/>
                <w:sz w:val="21"/>
                <w:szCs w:val="21"/>
                <w:highlight w:val="none"/>
              </w:rPr>
              <w:t>体系认</w:t>
            </w:r>
            <w:r>
              <w:rPr>
                <w:rFonts w:hint="eastAsia" w:ascii="宋体" w:hAnsi="宋体" w:cs="宋体"/>
                <w:color w:val="auto"/>
                <w:sz w:val="21"/>
                <w:szCs w:val="21"/>
                <w:highlight w:val="none"/>
              </w:rPr>
              <w:t>证</w:t>
            </w:r>
          </w:p>
          <w:p w14:paraId="4B4EEB8E">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6  </w:t>
            </w:r>
            <w:r>
              <w:rPr>
                <w:rFonts w:hint="eastAsia" w:ascii="宋体" w:hAnsi="宋体" w:cs="宋体"/>
                <w:color w:val="auto"/>
                <w:sz w:val="21"/>
                <w:szCs w:val="21"/>
                <w:highlight w:val="none"/>
              </w:rPr>
              <w:t>分）</w:t>
            </w:r>
          </w:p>
        </w:tc>
        <w:tc>
          <w:tcPr>
            <w:tcW w:w="3070" w:type="pct"/>
            <w:vAlign w:val="center"/>
          </w:tcPr>
          <w:p w14:paraId="505720CC">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yellow"/>
                <w:lang w:val="en-US" w:eastAsia="zh-CN"/>
              </w:rPr>
              <w:t>产品生产厂家</w:t>
            </w:r>
            <w:r>
              <w:rPr>
                <w:rFonts w:hint="eastAsia" w:ascii="宋体" w:hAnsi="宋体" w:cs="宋体"/>
                <w:color w:val="auto"/>
                <w:kern w:val="0"/>
                <w:sz w:val="21"/>
                <w:szCs w:val="21"/>
                <w:highlight w:val="none"/>
                <w:lang w:bidi="ar"/>
              </w:rPr>
              <w:t>具有有效期内的质量管理体系认证证书、环境管理体系认证证书、职业健康安全管理体系认证证书的，每提供1个得2分，总分6分。提供证书扫描件，未提供或提供材料不符合要求的不得分。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87"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8"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3" w:type="pct"/>
            <w:shd w:val="clear" w:color="auto" w:fill="auto"/>
            <w:vAlign w:val="center"/>
          </w:tcPr>
          <w:p w14:paraId="0FFC4C0C">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4CD1C9F8">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1</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0" w:type="pct"/>
            <w:shd w:val="clear" w:color="auto" w:fill="auto"/>
            <w:vAlign w:val="center"/>
          </w:tcPr>
          <w:p w14:paraId="0C475E4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10-7分；一般的得6-3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87"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8"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3"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10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070" w:type="pct"/>
            <w:shd w:val="clear" w:color="auto" w:fill="auto"/>
            <w:vAlign w:val="center"/>
          </w:tcPr>
          <w:p w14:paraId="3686DE7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优秀的得10-7分；一般的得6-3分，较差得基础分2分，未提供不得分</w:t>
            </w:r>
            <w:r>
              <w:rPr>
                <w:rFonts w:hint="eastAsia" w:ascii="宋体" w:hAnsi="宋体" w:cs="宋体"/>
                <w:color w:val="auto"/>
                <w:sz w:val="21"/>
                <w:szCs w:val="24"/>
                <w:highlight w:val="none"/>
                <w:lang w:val="en-US" w:eastAsia="zh-CN"/>
              </w:rPr>
              <w:t>。</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w:t>
      </w:r>
      <w:r>
        <w:rPr>
          <w:rFonts w:hint="eastAsia" w:ascii="Times New Roman" w:hAnsi="Times New Roman"/>
          <w:color w:val="auto"/>
          <w:sz w:val="21"/>
          <w:szCs w:val="24"/>
          <w:highlight w:val="none"/>
          <w:lang w:val="en-US" w:eastAsia="zh-CN"/>
        </w:rPr>
        <w:t>审</w:t>
      </w:r>
      <w:r>
        <w:rPr>
          <w:rFonts w:hint="eastAsia" w:ascii="Times New Roman" w:hAnsi="Times New Roman"/>
          <w:color w:val="auto"/>
          <w:sz w:val="21"/>
          <w:szCs w:val="24"/>
          <w:highlight w:val="none"/>
        </w:rPr>
        <w:t>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w:t>
      </w:r>
      <w:r>
        <w:rPr>
          <w:rFonts w:hint="eastAsia" w:ascii="Times New Roman" w:hAnsi="Times New Roman"/>
          <w:color w:val="auto"/>
          <w:sz w:val="21"/>
          <w:szCs w:val="24"/>
          <w:highlight w:val="yellow"/>
          <w:lang w:val="en-US" w:eastAsia="zh-CN"/>
        </w:rPr>
        <w:t>审</w:t>
      </w:r>
      <w:r>
        <w:rPr>
          <w:rFonts w:hint="eastAsia" w:ascii="Times New Roman" w:hAnsi="Times New Roman" w:eastAsiaTheme="minorEastAsia"/>
          <w:color w:val="auto"/>
          <w:sz w:val="21"/>
          <w:szCs w:val="24"/>
          <w:highlight w:val="yellow"/>
          <w:lang w:eastAsia="zh-CN"/>
        </w:rPr>
        <w:t>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30892"/>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464B844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0554ABED">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41B93CA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593239E6">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4.成交公示后，在合同签订前，乙方需向甲方支付合同总价2%的履约保证金或提供合同总价5%的银行保函。</w:t>
      </w:r>
    </w:p>
    <w:p w14:paraId="6EE82BA2">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CCBA88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6.乙方应当向甲方提供符合甲方财务要求的国家税务局13%增值税专用发票，发票需要做到“三流一致”，也即“货物、劳务及应税服务流”、“资金流”、“发票流”必须都是同一受票方。</w:t>
      </w:r>
    </w:p>
    <w:p w14:paraId="1F3E2ED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7日内提交给甲方。甲方收到乙方发票后，按合同约定向乙方付款，否则甲方有权迟延付款。</w:t>
      </w:r>
    </w:p>
    <w:p w14:paraId="4F508463">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8.如甲方出现资金困难，乙方同意给予1个月的付款宽限期，在此宽限期间内不视为甲方违约且不计息，乙方不得以此为由中断本项目的货物供应和安装。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8"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8"/>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9"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9"/>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0"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0"/>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1" w:edGrp="everyone"/>
      <w:r>
        <w:rPr>
          <w:rFonts w:hint="eastAsia" w:ascii="仿宋_GB2312" w:hAnsi="仿宋_GB2312" w:eastAsia="仿宋_GB2312" w:cs="仿宋_GB2312"/>
          <w:color w:val="auto"/>
          <w:sz w:val="28"/>
          <w:szCs w:val="28"/>
          <w:highlight w:val="none"/>
          <w:u w:val="single"/>
          <w:lang w:val="en-US" w:eastAsia="zh-CN"/>
        </w:rPr>
        <w:t xml:space="preserve">               </w:t>
      </w:r>
      <w:permEnd w:id="11"/>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2"/>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4"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4"/>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6"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6"/>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4FA5350D">
      <w:pPr>
        <w:pStyle w:val="5"/>
        <w:numPr>
          <w:ilvl w:val="255"/>
          <w:numId w:val="0"/>
        </w:numPr>
        <w:spacing w:before="312" w:after="312"/>
        <w:ind w:left="402"/>
        <w:rPr>
          <w:rFonts w:hint="eastAsia" w:ascii="宋体" w:hAnsi="宋体" w:cs="宋体"/>
          <w:b/>
          <w:color w:val="auto"/>
          <w:sz w:val="21"/>
          <w:szCs w:val="21"/>
          <w:highlight w:val="none"/>
        </w:rPr>
      </w:pPr>
      <w:bookmarkStart w:id="64" w:name="_Toc10402"/>
      <w:r>
        <w:rPr>
          <w:rFonts w:hint="eastAsia" w:ascii="Times New Roman" w:hAnsi="Times New Roman" w:eastAsia="宋体" w:cs="Times New Roman"/>
          <w:color w:val="auto"/>
          <w:highlight w:val="none"/>
          <w:lang w:val="en-US" w:eastAsia="zh-CN"/>
        </w:rPr>
        <w:t xml:space="preserve">第五章 </w:t>
      </w:r>
      <w:bookmarkStart w:id="65" w:name="_Toc31285"/>
      <w:bookmarkStart w:id="66" w:name="_Toc25485"/>
      <w:r>
        <w:rPr>
          <w:rFonts w:hint="eastAsia" w:ascii="Times New Roman" w:hAnsi="Times New Roman" w:eastAsia="宋体" w:cs="Times New Roman"/>
          <w:color w:val="auto"/>
          <w:highlight w:val="none"/>
          <w:lang w:val="en-US" w:eastAsia="zh-CN"/>
        </w:rPr>
        <w:t>采购需求及清单</w:t>
      </w:r>
      <w:bookmarkEnd w:id="64"/>
      <w:bookmarkEnd w:id="65"/>
      <w:bookmarkEnd w:id="66"/>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75C3E3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3861E4F0">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4C3D331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442FF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41DC54C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68190187">
      <w:pPr>
        <w:snapToGrid w:val="0"/>
        <w:spacing w:line="400" w:lineRule="exact"/>
        <w:ind w:firstLine="480" w:firstLineChars="200"/>
        <w:jc w:val="left"/>
        <w:rPr>
          <w:rFonts w:hint="eastAsia" w:ascii="宋体" w:hAnsi="宋体" w:cs="宋体"/>
          <w:color w:val="auto"/>
          <w:sz w:val="24"/>
          <w:szCs w:val="24"/>
          <w:highlight w:val="none"/>
        </w:rPr>
      </w:pP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32999A66">
      <w:pPr>
        <w:bidi w:val="0"/>
        <w:rPr>
          <w:rFonts w:hint="eastAsia"/>
          <w:color w:val="auto"/>
          <w:highlight w:val="none"/>
          <w:lang w:val="en-US" w:eastAsia="zh-CN"/>
        </w:rPr>
      </w:pPr>
    </w:p>
    <w:p w14:paraId="0C026B4F">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7" w:name="_Toc23283"/>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7"/>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8"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678919D1">
      <w:pPr>
        <w:jc w:val="both"/>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阜阳处2025年S25徐淮阜高速公路新开通收费站宿舍家具采购及安装项目</w:t>
      </w:r>
    </w:p>
    <w:p w14:paraId="1E6F5305">
      <w:pPr>
        <w:jc w:val="center"/>
        <w:outlineLvl w:val="9"/>
        <w:rPr>
          <w:rFonts w:ascii="Times New Roman" w:hAnsi="Times New Roman" w:eastAsia="黑体" w:cs="Times New Roman"/>
          <w:color w:val="auto"/>
          <w:sz w:val="50"/>
          <w:szCs w:val="50"/>
          <w:highlight w:val="none"/>
        </w:rPr>
      </w:pPr>
    </w:p>
    <w:p w14:paraId="63656D22">
      <w:pPr>
        <w:pStyle w:val="2"/>
        <w:rPr>
          <w:rFonts w:ascii="Times New Roman" w:hAnsi="Times New Roman" w:eastAsia="黑体" w:cs="Times New Roman"/>
          <w:color w:val="auto"/>
          <w:sz w:val="50"/>
          <w:szCs w:val="50"/>
          <w:highlight w:val="none"/>
        </w:rPr>
      </w:pPr>
    </w:p>
    <w:p w14:paraId="3101A8A5">
      <w:pPr>
        <w:pStyle w:val="3"/>
        <w:rPr>
          <w:color w:val="auto"/>
        </w:rPr>
      </w:pPr>
    </w:p>
    <w:p w14:paraId="17C23FA6">
      <w:pPr>
        <w:jc w:val="center"/>
        <w:outlineLvl w:val="0"/>
        <w:rPr>
          <w:rFonts w:ascii="Times New Roman" w:hAnsi="Times New Roman" w:eastAsia="黑体" w:cs="Times New Roman"/>
          <w:color w:val="auto"/>
          <w:sz w:val="50"/>
          <w:szCs w:val="50"/>
          <w:highlight w:val="none"/>
        </w:rPr>
      </w:pPr>
      <w:bookmarkStart w:id="69" w:name="_Toc26098"/>
      <w:bookmarkStart w:id="70" w:name="_Toc15601"/>
      <w:bookmarkStart w:id="71" w:name="_Toc11846"/>
      <w:bookmarkStart w:id="72" w:name="_Toc11988"/>
      <w:bookmarkStart w:id="73" w:name="_Toc6480"/>
      <w:bookmarkStart w:id="74" w:name="_Toc10074"/>
      <w:bookmarkStart w:id="75" w:name="_Toc2527"/>
      <w:bookmarkStart w:id="76" w:name="_Toc20091"/>
      <w:bookmarkStart w:id="77" w:name="_Toc12438"/>
      <w:r>
        <w:rPr>
          <w:rFonts w:ascii="Times New Roman" w:hAnsi="Times New Roman" w:eastAsia="黑体" w:cs="Times New Roman"/>
          <w:color w:val="auto"/>
          <w:sz w:val="50"/>
          <w:szCs w:val="50"/>
          <w:highlight w:val="none"/>
        </w:rPr>
        <w:t>响  应  文  件</w:t>
      </w:r>
      <w:bookmarkEnd w:id="69"/>
      <w:bookmarkEnd w:id="70"/>
      <w:bookmarkEnd w:id="71"/>
      <w:bookmarkEnd w:id="72"/>
      <w:bookmarkEnd w:id="73"/>
      <w:bookmarkEnd w:id="74"/>
      <w:bookmarkEnd w:id="75"/>
      <w:bookmarkEnd w:id="76"/>
      <w:bookmarkEnd w:id="77"/>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8" w:name="_Toc25232_WPSOffice_Level2"/>
      <w:bookmarkStart w:id="79"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8"/>
      <w:bookmarkEnd w:id="79"/>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0" w:name="_Toc20076_WPSOffice_Level2"/>
      <w:bookmarkStart w:id="81"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0"/>
      <w:bookmarkEnd w:id="81"/>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82" w:name="_Toc4183"/>
      <w:bookmarkStart w:id="83" w:name="_Toc1219"/>
      <w:bookmarkStart w:id="84" w:name="_Toc11330"/>
      <w:bookmarkStart w:id="85" w:name="_Toc21704"/>
      <w:bookmarkStart w:id="86" w:name="_Toc24654"/>
      <w:bookmarkStart w:id="87" w:name="_Toc32504"/>
      <w:bookmarkStart w:id="88" w:name="_Toc888"/>
      <w:bookmarkStart w:id="89" w:name="_Toc2795"/>
      <w:bookmarkStart w:id="90" w:name="_Toc25724"/>
      <w:r>
        <w:rPr>
          <w:rFonts w:hint="eastAsia" w:ascii="黑体" w:hAnsi="黑体" w:eastAsia="黑体" w:cs="黑体"/>
          <w:b/>
          <w:bCs/>
          <w:color w:val="auto"/>
          <w:sz w:val="28"/>
          <w:szCs w:val="28"/>
          <w:highlight w:val="none"/>
        </w:rPr>
        <w:t>一、响应函（不含报价）</w:t>
      </w:r>
      <w:bookmarkEnd w:id="68"/>
      <w:bookmarkEnd w:id="82"/>
      <w:bookmarkEnd w:id="83"/>
      <w:bookmarkEnd w:id="84"/>
      <w:bookmarkEnd w:id="85"/>
      <w:bookmarkEnd w:id="86"/>
      <w:bookmarkEnd w:id="87"/>
      <w:bookmarkEnd w:id="88"/>
      <w:bookmarkEnd w:id="89"/>
      <w:bookmarkEnd w:id="90"/>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阜阳处2025年S25徐淮阜高速公路新开通</w:t>
      </w:r>
      <w:r>
        <w:rPr>
          <w:rFonts w:hint="eastAsia" w:ascii="宋体" w:hAnsi="宋体" w:cs="宋体"/>
          <w:color w:val="auto"/>
          <w:sz w:val="24"/>
          <w:szCs w:val="24"/>
          <w:highlight w:val="none"/>
          <w:u w:val="single"/>
          <w:lang w:eastAsia="zh-CN"/>
        </w:rPr>
        <w:t>收费站宿舍家具采购及安装项目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1" w:name="_Hlk122530524"/>
      <w:r>
        <w:rPr>
          <w:rFonts w:hint="eastAsia" w:ascii="宋体" w:hAnsi="宋体" w:cs="宋体"/>
          <w:color w:val="auto"/>
          <w:sz w:val="24"/>
          <w:szCs w:val="24"/>
          <w:highlight w:val="none"/>
          <w:u w:val="single"/>
        </w:rPr>
        <w:t xml:space="preserve">                         </w:t>
      </w:r>
      <w:bookmarkEnd w:id="91"/>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92" w:name="_Toc21398"/>
      <w:bookmarkStart w:id="93" w:name="_Toc28522"/>
      <w:bookmarkStart w:id="94" w:name="_Toc23511"/>
      <w:bookmarkStart w:id="95" w:name="_Toc23378"/>
      <w:bookmarkStart w:id="96" w:name="_Toc7106"/>
      <w:bookmarkStart w:id="97" w:name="_Toc10497"/>
      <w:bookmarkStart w:id="98" w:name="_Toc5068"/>
      <w:bookmarkStart w:id="99" w:name="_Toc28024"/>
      <w:bookmarkStart w:id="100" w:name="_Toc16965"/>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2"/>
      <w:bookmarkEnd w:id="93"/>
      <w:bookmarkEnd w:id="94"/>
      <w:bookmarkEnd w:id="95"/>
      <w:bookmarkEnd w:id="96"/>
      <w:bookmarkEnd w:id="97"/>
      <w:bookmarkEnd w:id="98"/>
      <w:bookmarkEnd w:id="99"/>
      <w:bookmarkEnd w:id="100"/>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阜阳处2025年S25徐淮阜高速公路新开通</w:t>
      </w:r>
      <w:r>
        <w:rPr>
          <w:rFonts w:hint="eastAsia" w:ascii="Times New Roman" w:hAnsi="Times New Roman" w:eastAsia="宋体" w:cs="Times New Roman"/>
          <w:color w:val="auto"/>
          <w:kern w:val="2"/>
          <w:sz w:val="24"/>
          <w:szCs w:val="24"/>
          <w:highlight w:val="none"/>
          <w:u w:val="single"/>
          <w:lang w:val="en-US" w:eastAsia="zh-CN" w:bidi="ar"/>
        </w:rPr>
        <w:t>收费站宿舍家具采购及安装项目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1" w:name="_Toc28296"/>
      <w:bookmarkStart w:id="102" w:name="_Toc23112"/>
      <w:bookmarkStart w:id="103" w:name="_Toc30116"/>
      <w:bookmarkStart w:id="104" w:name="_Toc23593"/>
      <w:bookmarkStart w:id="105" w:name="_Toc24785"/>
      <w:bookmarkStart w:id="106" w:name="_Toc19890"/>
      <w:bookmarkStart w:id="107" w:name="_Toc26457"/>
      <w:bookmarkStart w:id="108" w:name="_Toc21352"/>
      <w:bookmarkStart w:id="109" w:name="_Toc16245"/>
      <w:bookmarkStart w:id="110" w:name="_Toc2224"/>
      <w:r>
        <w:rPr>
          <w:rFonts w:hint="eastAsia" w:ascii="黑体" w:hAnsi="宋体" w:eastAsia="黑体" w:cs="黑体"/>
          <w:color w:val="auto"/>
          <w:kern w:val="2"/>
          <w:sz w:val="28"/>
          <w:szCs w:val="28"/>
          <w:highlight w:val="none"/>
          <w:lang w:val="en-US" w:eastAsia="zh-CN" w:bidi="ar"/>
        </w:rPr>
        <w:t>三、供应商基本情况</w:t>
      </w:r>
      <w:bookmarkEnd w:id="101"/>
      <w:bookmarkEnd w:id="102"/>
      <w:bookmarkEnd w:id="103"/>
      <w:bookmarkEnd w:id="104"/>
      <w:bookmarkEnd w:id="105"/>
      <w:bookmarkEnd w:id="106"/>
      <w:bookmarkEnd w:id="107"/>
      <w:bookmarkEnd w:id="108"/>
      <w:bookmarkEnd w:id="109"/>
      <w:bookmarkEnd w:id="110"/>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3D623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2384E1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25A61A6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11" w:name="_Toc22190"/>
      <w:bookmarkStart w:id="112" w:name="_Toc9989"/>
      <w:bookmarkStart w:id="113" w:name="_Toc5395"/>
      <w:bookmarkStart w:id="114" w:name="_Toc7483"/>
      <w:bookmarkStart w:id="115" w:name="_Toc31962"/>
      <w:bookmarkStart w:id="116" w:name="_Toc28901"/>
      <w:bookmarkStart w:id="117" w:name="_Toc12834"/>
      <w:bookmarkStart w:id="118" w:name="_Toc17884"/>
      <w:bookmarkStart w:id="119" w:name="_Toc22364"/>
      <w:bookmarkStart w:id="120" w:name="_Toc20721"/>
      <w:r>
        <w:rPr>
          <w:rFonts w:hint="eastAsia" w:ascii="黑体" w:hAnsi="宋体" w:eastAsia="黑体" w:cs="黑体"/>
          <w:color w:val="auto"/>
          <w:kern w:val="2"/>
          <w:sz w:val="28"/>
          <w:szCs w:val="28"/>
          <w:highlight w:val="none"/>
          <w:lang w:val="en-US" w:eastAsia="zh-CN" w:bidi="ar"/>
        </w:rPr>
        <w:t>四、近年类似业绩情况</w:t>
      </w:r>
      <w:bookmarkEnd w:id="111"/>
      <w:bookmarkEnd w:id="112"/>
      <w:bookmarkEnd w:id="113"/>
      <w:bookmarkEnd w:id="114"/>
      <w:bookmarkEnd w:id="115"/>
      <w:bookmarkEnd w:id="116"/>
      <w:bookmarkEnd w:id="117"/>
      <w:bookmarkEnd w:id="118"/>
      <w:bookmarkEnd w:id="119"/>
      <w:bookmarkEnd w:id="120"/>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1" w:name="_Toc29607"/>
      <w:bookmarkStart w:id="122" w:name="_Toc23165"/>
      <w:bookmarkStart w:id="123" w:name="_Toc14517"/>
      <w:bookmarkStart w:id="124" w:name="_Toc165"/>
      <w:bookmarkStart w:id="125" w:name="_Toc24647"/>
      <w:bookmarkStart w:id="126" w:name="_Toc22722"/>
      <w:bookmarkStart w:id="127" w:name="_Toc27124"/>
      <w:bookmarkStart w:id="128" w:name="_Toc21498"/>
      <w:bookmarkStart w:id="129" w:name="_Toc5204"/>
      <w:bookmarkStart w:id="130" w:name="_Toc6439"/>
      <w:r>
        <w:rPr>
          <w:rFonts w:hint="eastAsia" w:ascii="黑体" w:hAnsi="宋体" w:eastAsia="黑体" w:cs="黑体"/>
          <w:color w:val="auto"/>
          <w:kern w:val="2"/>
          <w:sz w:val="28"/>
          <w:szCs w:val="28"/>
          <w:highlight w:val="none"/>
          <w:lang w:val="en-US" w:eastAsia="zh-CN" w:bidi="ar"/>
        </w:rPr>
        <w:t>五、信誉情况</w:t>
      </w:r>
      <w:bookmarkEnd w:id="121"/>
      <w:bookmarkEnd w:id="122"/>
      <w:bookmarkEnd w:id="123"/>
      <w:bookmarkEnd w:id="124"/>
      <w:bookmarkEnd w:id="125"/>
      <w:bookmarkEnd w:id="126"/>
      <w:bookmarkEnd w:id="127"/>
      <w:bookmarkEnd w:id="128"/>
      <w:bookmarkEnd w:id="129"/>
      <w:bookmarkEnd w:id="130"/>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31" w:name="_Toc29972"/>
      <w:bookmarkStart w:id="132" w:name="_Toc28465"/>
      <w:bookmarkStart w:id="133" w:name="_Toc10389"/>
      <w:bookmarkStart w:id="134" w:name="_Toc15048"/>
      <w:bookmarkStart w:id="135" w:name="_Toc11349"/>
      <w:bookmarkStart w:id="136" w:name="_Toc22954"/>
      <w:bookmarkStart w:id="137" w:name="_Toc22047"/>
      <w:bookmarkStart w:id="138" w:name="_Toc24578"/>
      <w:bookmarkStart w:id="139" w:name="_Toc23011"/>
      <w:bookmarkStart w:id="140" w:name="_Toc1569"/>
      <w:r>
        <w:rPr>
          <w:rFonts w:hint="eastAsia" w:ascii="黑体" w:hAnsi="宋体" w:eastAsia="黑体" w:cs="黑体"/>
          <w:color w:val="auto"/>
          <w:kern w:val="2"/>
          <w:sz w:val="28"/>
          <w:szCs w:val="28"/>
          <w:highlight w:val="none"/>
          <w:lang w:val="en-US" w:eastAsia="zh-CN" w:bidi="ar"/>
        </w:rPr>
        <w:t>六、企业实力</w:t>
      </w:r>
      <w:bookmarkEnd w:id="131"/>
      <w:bookmarkEnd w:id="132"/>
      <w:bookmarkEnd w:id="133"/>
      <w:bookmarkEnd w:id="134"/>
      <w:bookmarkEnd w:id="135"/>
      <w:bookmarkEnd w:id="136"/>
      <w:bookmarkEnd w:id="137"/>
      <w:bookmarkEnd w:id="138"/>
      <w:bookmarkEnd w:id="139"/>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41" w:name="_Toc9722"/>
      <w:bookmarkStart w:id="142" w:name="_Toc18170"/>
      <w:bookmarkStart w:id="143" w:name="_Toc22740"/>
      <w:bookmarkStart w:id="144" w:name="_Toc19445"/>
      <w:bookmarkStart w:id="145" w:name="_Toc20221"/>
      <w:bookmarkStart w:id="146" w:name="_Toc143"/>
      <w:bookmarkStart w:id="147" w:name="_Toc29493"/>
      <w:bookmarkStart w:id="148" w:name="_Toc7906"/>
      <w:bookmarkStart w:id="149" w:name="_Toc15666"/>
      <w:r>
        <w:rPr>
          <w:rFonts w:hint="eastAsia" w:ascii="黑体" w:hAnsi="宋体" w:eastAsia="黑体" w:cs="黑体"/>
          <w:color w:val="auto"/>
          <w:kern w:val="2"/>
          <w:sz w:val="28"/>
          <w:szCs w:val="28"/>
          <w:highlight w:val="none"/>
          <w:lang w:val="en-US" w:eastAsia="zh-CN" w:bidi="ar"/>
        </w:rPr>
        <w:t>七、</w:t>
      </w:r>
      <w:bookmarkEnd w:id="140"/>
      <w:r>
        <w:rPr>
          <w:rFonts w:hint="eastAsia" w:ascii="黑体" w:hAnsi="宋体" w:eastAsia="黑体" w:cs="黑体"/>
          <w:color w:val="auto"/>
          <w:kern w:val="2"/>
          <w:sz w:val="28"/>
          <w:szCs w:val="28"/>
          <w:highlight w:val="none"/>
          <w:lang w:val="en-US" w:eastAsia="zh-CN" w:bidi="ar"/>
        </w:rPr>
        <w:t>生产体系认证</w:t>
      </w:r>
      <w:bookmarkEnd w:id="141"/>
      <w:bookmarkEnd w:id="142"/>
      <w:bookmarkEnd w:id="143"/>
      <w:bookmarkEnd w:id="144"/>
      <w:bookmarkEnd w:id="145"/>
      <w:bookmarkEnd w:id="146"/>
      <w:bookmarkEnd w:id="147"/>
      <w:bookmarkEnd w:id="148"/>
      <w:bookmarkEnd w:id="149"/>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50" w:name="_Toc31378"/>
      <w:bookmarkStart w:id="151"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52" w:name="_Toc27742"/>
      <w:bookmarkStart w:id="153" w:name="_Toc28805"/>
      <w:bookmarkStart w:id="154" w:name="_Toc22943"/>
      <w:bookmarkStart w:id="155" w:name="_Toc5689"/>
      <w:bookmarkStart w:id="156" w:name="_Toc32620"/>
      <w:bookmarkStart w:id="157" w:name="_Toc3549"/>
      <w:bookmarkStart w:id="158" w:name="_Toc16215"/>
      <w:bookmarkStart w:id="159" w:name="_Toc32651"/>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50"/>
      <w:r>
        <w:rPr>
          <w:rFonts w:hint="eastAsia" w:ascii="Times New Roman" w:hAnsi="Times New Roman" w:eastAsia="黑体"/>
          <w:color w:val="auto"/>
          <w:sz w:val="28"/>
          <w:szCs w:val="28"/>
          <w:highlight w:val="none"/>
          <w:lang w:val="en-US" w:eastAsia="zh-CN"/>
        </w:rPr>
        <w:t>供货方案</w:t>
      </w:r>
      <w:bookmarkEnd w:id="152"/>
      <w:bookmarkEnd w:id="153"/>
      <w:bookmarkEnd w:id="154"/>
      <w:bookmarkEnd w:id="155"/>
      <w:bookmarkEnd w:id="156"/>
      <w:bookmarkEnd w:id="157"/>
      <w:bookmarkEnd w:id="158"/>
      <w:bookmarkEnd w:id="159"/>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60" w:name="_Toc16936"/>
      <w:bookmarkStart w:id="161" w:name="_Toc23229"/>
      <w:bookmarkStart w:id="162" w:name="_Toc3565"/>
      <w:bookmarkStart w:id="163" w:name="_Toc6951"/>
      <w:bookmarkStart w:id="164" w:name="_Toc15543"/>
      <w:bookmarkStart w:id="165" w:name="_Toc7901"/>
      <w:bookmarkStart w:id="166" w:name="_Toc4217"/>
      <w:bookmarkStart w:id="167" w:name="_Toc10923"/>
      <w:bookmarkStart w:id="168" w:name="_Toc18620"/>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60"/>
      <w:bookmarkEnd w:id="161"/>
      <w:bookmarkEnd w:id="162"/>
      <w:bookmarkEnd w:id="163"/>
      <w:bookmarkEnd w:id="164"/>
      <w:bookmarkEnd w:id="165"/>
      <w:bookmarkEnd w:id="166"/>
      <w:bookmarkEnd w:id="167"/>
      <w:bookmarkEnd w:id="168"/>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51"/>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69"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70" w:name="_Toc8048"/>
      <w:bookmarkStart w:id="171" w:name="_Toc28647"/>
      <w:bookmarkStart w:id="172" w:name="_Toc31164"/>
      <w:bookmarkStart w:id="173" w:name="_Toc9218"/>
      <w:bookmarkStart w:id="174" w:name="_Toc26159"/>
      <w:bookmarkStart w:id="175" w:name="_Toc15049"/>
      <w:bookmarkStart w:id="176" w:name="_Toc3896"/>
      <w:bookmarkStart w:id="177" w:name="_Toc11806"/>
      <w:bookmarkStart w:id="178" w:name="_Toc27975"/>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70"/>
      <w:r>
        <w:rPr>
          <w:rFonts w:hint="eastAsia" w:ascii="Times New Roman" w:hAnsi="Times New Roman" w:eastAsia="黑体"/>
          <w:color w:val="auto"/>
          <w:sz w:val="28"/>
          <w:szCs w:val="28"/>
          <w:highlight w:val="none"/>
          <w:lang w:val="en-US" w:eastAsia="zh-CN"/>
        </w:rPr>
        <w:t>售后服务方案</w:t>
      </w:r>
      <w:bookmarkEnd w:id="171"/>
      <w:bookmarkEnd w:id="172"/>
      <w:bookmarkEnd w:id="173"/>
      <w:bookmarkEnd w:id="174"/>
      <w:bookmarkEnd w:id="175"/>
      <w:bookmarkEnd w:id="176"/>
      <w:bookmarkEnd w:id="177"/>
      <w:bookmarkEnd w:id="178"/>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79" w:name="_Toc7980"/>
      <w:bookmarkStart w:id="180" w:name="_Toc9931"/>
      <w:bookmarkStart w:id="181" w:name="_Toc11461"/>
      <w:bookmarkStart w:id="182" w:name="_Toc29460"/>
      <w:bookmarkStart w:id="183" w:name="_Toc6095"/>
      <w:bookmarkStart w:id="184" w:name="_Toc25621"/>
      <w:bookmarkStart w:id="185" w:name="_Toc7405"/>
      <w:bookmarkStart w:id="186" w:name="_Toc30922"/>
      <w:bookmarkStart w:id="187" w:name="_Toc18746"/>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79"/>
      <w:bookmarkEnd w:id="180"/>
      <w:bookmarkEnd w:id="181"/>
      <w:bookmarkEnd w:id="182"/>
      <w:bookmarkEnd w:id="183"/>
      <w:bookmarkEnd w:id="184"/>
      <w:bookmarkEnd w:id="185"/>
      <w:bookmarkEnd w:id="186"/>
      <w:bookmarkEnd w:id="187"/>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88" w:name="_Toc31636"/>
      <w:bookmarkStart w:id="189" w:name="_Toc15065"/>
      <w:bookmarkStart w:id="190" w:name="_Toc29067"/>
      <w:bookmarkStart w:id="191" w:name="_Toc24671"/>
      <w:bookmarkStart w:id="192" w:name="_Toc14186"/>
      <w:bookmarkStart w:id="193" w:name="_Toc16480"/>
      <w:bookmarkStart w:id="194" w:name="_Toc11900"/>
      <w:bookmarkStart w:id="195" w:name="_Toc15284"/>
      <w:bookmarkStart w:id="196" w:name="_Toc22621"/>
      <w:r>
        <w:rPr>
          <w:rFonts w:hint="eastAsia" w:ascii="黑体" w:hAnsi="宋体" w:eastAsia="黑体" w:cs="黑体"/>
          <w:color w:val="auto"/>
          <w:kern w:val="2"/>
          <w:sz w:val="28"/>
          <w:szCs w:val="28"/>
          <w:highlight w:val="none"/>
          <w:lang w:val="en-US" w:eastAsia="zh-CN" w:bidi="ar"/>
        </w:rPr>
        <w:t>十、承诺书</w:t>
      </w:r>
      <w:bookmarkEnd w:id="169"/>
      <w:bookmarkEnd w:id="188"/>
      <w:bookmarkEnd w:id="189"/>
      <w:bookmarkEnd w:id="190"/>
      <w:bookmarkEnd w:id="191"/>
      <w:bookmarkEnd w:id="192"/>
      <w:bookmarkEnd w:id="193"/>
      <w:bookmarkEnd w:id="194"/>
      <w:bookmarkEnd w:id="195"/>
      <w:bookmarkEnd w:id="196"/>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阜阳处2025年S25徐淮阜高速公路新开通收费站宿舍家具采购及安装项目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97" w:name="_Toc30685"/>
      <w:bookmarkStart w:id="198" w:name="_Toc11711"/>
      <w:bookmarkStart w:id="199" w:name="_Toc31058"/>
      <w:bookmarkStart w:id="200" w:name="_Toc3055"/>
      <w:bookmarkStart w:id="201" w:name="_Toc18523"/>
      <w:bookmarkStart w:id="202" w:name="_Toc21762"/>
      <w:bookmarkStart w:id="203" w:name="_Toc10955"/>
      <w:bookmarkStart w:id="204" w:name="_Toc10121"/>
      <w:bookmarkStart w:id="205" w:name="_Toc2975"/>
      <w:bookmarkStart w:id="206" w:name="_Toc30427"/>
      <w:r>
        <w:rPr>
          <w:rFonts w:hint="eastAsia" w:ascii="黑体" w:hAnsi="宋体" w:eastAsia="黑体" w:cs="黑体"/>
          <w:color w:val="auto"/>
          <w:kern w:val="2"/>
          <w:sz w:val="28"/>
          <w:szCs w:val="28"/>
          <w:highlight w:val="none"/>
          <w:lang w:val="en-US" w:eastAsia="zh-CN" w:bidi="ar"/>
        </w:rPr>
        <w:t>十一、其他材料</w:t>
      </w:r>
      <w:bookmarkEnd w:id="197"/>
      <w:bookmarkEnd w:id="198"/>
      <w:bookmarkEnd w:id="199"/>
      <w:bookmarkEnd w:id="200"/>
      <w:bookmarkEnd w:id="201"/>
      <w:bookmarkEnd w:id="202"/>
      <w:bookmarkEnd w:id="203"/>
      <w:bookmarkEnd w:id="204"/>
      <w:bookmarkEnd w:id="205"/>
      <w:bookmarkEnd w:id="206"/>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阜阳处2025年S25徐淮阜高速公路新开通收费站宿舍家具采购及安装项目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207" w:name="_Toc4837"/>
      <w:bookmarkStart w:id="208" w:name="_Toc28949"/>
      <w:bookmarkStart w:id="209" w:name="_Toc10029"/>
      <w:bookmarkStart w:id="210" w:name="_Toc21076"/>
      <w:bookmarkStart w:id="211" w:name="_Toc23972"/>
      <w:bookmarkStart w:id="212" w:name="_Toc10608"/>
      <w:bookmarkStart w:id="213" w:name="_Toc977"/>
      <w:bookmarkStart w:id="214" w:name="_Toc24213"/>
      <w:bookmarkStart w:id="215" w:name="_Toc31530"/>
      <w:bookmarkStart w:id="216" w:name="_Toc2786"/>
      <w:r>
        <w:rPr>
          <w:rFonts w:ascii="Times New Roman" w:hAnsi="Times New Roman" w:eastAsia="黑体" w:cs="Times New Roman"/>
          <w:color w:val="auto"/>
          <w:sz w:val="50"/>
          <w:szCs w:val="50"/>
          <w:highlight w:val="none"/>
        </w:rPr>
        <w:t>响  应  文  件</w:t>
      </w:r>
      <w:bookmarkEnd w:id="207"/>
      <w:bookmarkEnd w:id="208"/>
      <w:bookmarkEnd w:id="209"/>
      <w:bookmarkEnd w:id="210"/>
      <w:bookmarkEnd w:id="211"/>
      <w:bookmarkEnd w:id="212"/>
      <w:bookmarkEnd w:id="213"/>
      <w:bookmarkEnd w:id="214"/>
      <w:bookmarkEnd w:id="215"/>
      <w:bookmarkEnd w:id="216"/>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217" w:name="_Toc29399_WPSOffice_Level1"/>
      <w:bookmarkStart w:id="218" w:name="_Toc29968"/>
      <w:bookmarkStart w:id="219" w:name="_Toc2765_WPSOffice_Level1"/>
      <w:bookmarkStart w:id="220" w:name="_Toc8703"/>
      <w:bookmarkStart w:id="221" w:name="_Toc15092"/>
      <w:bookmarkStart w:id="222" w:name="_Toc18312_WPSOffice_Level1"/>
      <w:bookmarkStart w:id="223" w:name="_Toc11805_WPSOffice_Level1"/>
      <w:bookmarkStart w:id="224" w:name="_Toc30031_WPSOffice_Level1"/>
      <w:bookmarkStart w:id="225" w:name="_Toc1924"/>
      <w:bookmarkStart w:id="226" w:name="_Toc23583"/>
      <w:bookmarkStart w:id="227" w:name="_Toc1687_WPSOffice_Level1"/>
      <w:bookmarkStart w:id="228" w:name="_Toc24269_WPSOffice_Level1"/>
      <w:r>
        <w:rPr>
          <w:rFonts w:hint="eastAsia" w:ascii="黑体" w:hAnsi="黑体" w:eastAsia="黑体" w:cs="黑体"/>
          <w:b w:val="0"/>
          <w:bCs/>
          <w:color w:val="auto"/>
          <w:sz w:val="28"/>
          <w:szCs w:val="28"/>
          <w:highlight w:val="none"/>
        </w:rPr>
        <w:t>一、</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阜阳处2025年S25徐淮阜高速公路新开通</w:t>
      </w:r>
      <w:r>
        <w:rPr>
          <w:rFonts w:hint="eastAsia" w:ascii="Times New Roman" w:hAnsi="Times New Roman" w:cs="Times New Roman"/>
          <w:color w:val="auto"/>
          <w:sz w:val="24"/>
          <w:highlight w:val="none"/>
          <w:u w:val="single"/>
          <w:lang w:eastAsia="zh-CN"/>
        </w:rPr>
        <w:t>收费站宿舍家具采购及安装项目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229" w:name="_Toc162490440"/>
      <w:bookmarkStart w:id="230" w:name="_Toc153421230"/>
      <w:bookmarkStart w:id="231" w:name="_Toc272486050"/>
      <w:r>
        <w:rPr>
          <w:rFonts w:hint="eastAsia" w:ascii="黑体" w:hAnsi="黑体" w:eastAsia="黑体" w:cs="黑体"/>
          <w:b w:val="0"/>
          <w:bCs/>
          <w:color w:val="auto"/>
          <w:sz w:val="28"/>
          <w:szCs w:val="28"/>
          <w:highlight w:val="none"/>
        </w:rPr>
        <w:t>二、</w:t>
      </w:r>
      <w:bookmarkEnd w:id="229"/>
      <w:bookmarkEnd w:id="230"/>
      <w:bookmarkEnd w:id="231"/>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2"/>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474"/>
        <w:gridCol w:w="3509"/>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474"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509"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474"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509"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255"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628"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033682D5">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3BCEB11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7FCF4E6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07511D3A">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6B55C20">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成交人对提供的供应货物质量负总责，材料进场应按程序履行报验、交接手续；因供应货物质量问题，将视作违约，成交人须赔偿由此造成返工的全部工程建设费用及其他一切损失，同时由采购人追究成交人的违约责任，情节严重的，依法追究相关责任。</w:t>
      </w: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0C99FF9-FAA3-4E6B-A44B-78DDE2E6D3F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0C0FD6C-4D0B-4FDF-838E-3AFBA5A0F3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E1E3302-CC13-4C7F-A26C-AF80DECF94AF}"/>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F74C5752-FBA1-4560-881D-A3106E34F0DA}"/>
  </w:font>
  <w:font w:name="方正小标宋简体">
    <w:panose1 w:val="02000000000000000000"/>
    <w:charset w:val="86"/>
    <w:family w:val="auto"/>
    <w:pitch w:val="default"/>
    <w:sig w:usb0="00000001" w:usb1="08000000" w:usb2="00000000" w:usb3="00000000" w:csb0="00040000" w:csb1="00000000"/>
    <w:embedRegular r:id="rId5" w:fontKey="{9DC1B36A-6286-4C9F-A76B-B8C1DEE5090E}"/>
  </w:font>
  <w:font w:name="Wingdings 2">
    <w:panose1 w:val="05020102010507070707"/>
    <w:charset w:val="02"/>
    <w:family w:val="roman"/>
    <w:pitch w:val="default"/>
    <w:sig w:usb0="00000000" w:usb1="00000000" w:usb2="00000000" w:usb3="00000000" w:csb0="80000000" w:csb1="00000000"/>
    <w:embedRegular r:id="rId6" w:fontKey="{EA646024-14A1-4A80-8372-69C95933899B}"/>
  </w:font>
  <w:font w:name="华文楷体">
    <w:panose1 w:val="02010600040101010101"/>
    <w:charset w:val="86"/>
    <w:family w:val="auto"/>
    <w:pitch w:val="default"/>
    <w:sig w:usb0="00000287" w:usb1="080F0000" w:usb2="00000000" w:usb3="00000000" w:csb0="0004009F" w:csb1="DFD70000"/>
    <w:embedRegular r:id="rId7" w:fontKey="{E7461AD2-C8AC-49F7-B211-0AD9C8C00C2C}"/>
  </w:font>
  <w:font w:name="仿宋_GB2312">
    <w:panose1 w:val="02010609030101010101"/>
    <w:charset w:val="86"/>
    <w:family w:val="modern"/>
    <w:pitch w:val="default"/>
    <w:sig w:usb0="00000001" w:usb1="080E0000" w:usb2="00000000" w:usb3="00000000" w:csb0="00040000" w:csb1="00000000"/>
    <w:embedRegular r:id="rId8" w:fontKey="{4FD5762D-9F9F-4D1C-8E3C-EE91B25B2E69}"/>
  </w:font>
  <w:font w:name="楷体">
    <w:panose1 w:val="02010609060101010101"/>
    <w:charset w:val="86"/>
    <w:family w:val="auto"/>
    <w:pitch w:val="default"/>
    <w:sig w:usb0="800002BF" w:usb1="38CF7CFA" w:usb2="00000016" w:usb3="00000000" w:csb0="00040001" w:csb1="00000000"/>
    <w:embedRegular r:id="rId9" w:fontKey="{9676D6A8-2F6B-4E4F-B2E5-E6A0CDDD60AE}"/>
  </w:font>
  <w:font w:name="仿宋">
    <w:panose1 w:val="02010609060101010101"/>
    <w:charset w:val="86"/>
    <w:family w:val="auto"/>
    <w:pitch w:val="default"/>
    <w:sig w:usb0="800002BF" w:usb1="38CF7CFA" w:usb2="00000016" w:usb3="00000000" w:csb0="00040001" w:csb1="00000000"/>
    <w:embedRegular r:id="rId10" w:fontKey="{430403A1-EA31-4CE6-B22E-FB5DA2B0A284}"/>
  </w:font>
  <w:font w:name="华文中宋">
    <w:panose1 w:val="02010600040101010101"/>
    <w:charset w:val="50"/>
    <w:family w:val="auto"/>
    <w:pitch w:val="default"/>
    <w:sig w:usb0="00000287" w:usb1="080F0000" w:usb2="00000000" w:usb3="00000000" w:csb0="0004009F" w:csb1="DFD70000"/>
    <w:embedRegular r:id="rId11" w:fontKey="{34EBCF00-9C70-453A-AD53-9B11495E18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1FD42EF"/>
    <w:rsid w:val="0211370D"/>
    <w:rsid w:val="0215764D"/>
    <w:rsid w:val="022655F4"/>
    <w:rsid w:val="023E3C6A"/>
    <w:rsid w:val="02777BFD"/>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461F7D"/>
    <w:rsid w:val="045E338A"/>
    <w:rsid w:val="046E6DDE"/>
    <w:rsid w:val="047010F6"/>
    <w:rsid w:val="04701D1E"/>
    <w:rsid w:val="047A1C27"/>
    <w:rsid w:val="049D76C3"/>
    <w:rsid w:val="04C16A73"/>
    <w:rsid w:val="04E034BC"/>
    <w:rsid w:val="05085F79"/>
    <w:rsid w:val="051C4A8C"/>
    <w:rsid w:val="052851DF"/>
    <w:rsid w:val="0535195E"/>
    <w:rsid w:val="054416D2"/>
    <w:rsid w:val="05AF29EE"/>
    <w:rsid w:val="05D2339D"/>
    <w:rsid w:val="05F62696"/>
    <w:rsid w:val="05F94BA8"/>
    <w:rsid w:val="060774EA"/>
    <w:rsid w:val="061816F7"/>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5787"/>
    <w:rsid w:val="091A677A"/>
    <w:rsid w:val="09210464"/>
    <w:rsid w:val="095E1B17"/>
    <w:rsid w:val="096867B1"/>
    <w:rsid w:val="09B13FF7"/>
    <w:rsid w:val="0A2E7496"/>
    <w:rsid w:val="0A407D2C"/>
    <w:rsid w:val="0A466107"/>
    <w:rsid w:val="0A64315D"/>
    <w:rsid w:val="0A8235E3"/>
    <w:rsid w:val="0A941F2B"/>
    <w:rsid w:val="0AAD73BC"/>
    <w:rsid w:val="0AB84C95"/>
    <w:rsid w:val="0AD211C7"/>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57A5D"/>
    <w:rsid w:val="0CA667B4"/>
    <w:rsid w:val="0CB62B1E"/>
    <w:rsid w:val="0CD81BE1"/>
    <w:rsid w:val="0D604989"/>
    <w:rsid w:val="0D676CED"/>
    <w:rsid w:val="0DBD0BDC"/>
    <w:rsid w:val="0DC42165"/>
    <w:rsid w:val="0DD26630"/>
    <w:rsid w:val="0DE02F17"/>
    <w:rsid w:val="0E1E3623"/>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CF32FA"/>
    <w:rsid w:val="10DA535D"/>
    <w:rsid w:val="10F20D97"/>
    <w:rsid w:val="10F863AD"/>
    <w:rsid w:val="110D2AFF"/>
    <w:rsid w:val="112131E2"/>
    <w:rsid w:val="11681ED6"/>
    <w:rsid w:val="119C482A"/>
    <w:rsid w:val="11B06C88"/>
    <w:rsid w:val="11C6025A"/>
    <w:rsid w:val="11DF30C9"/>
    <w:rsid w:val="11E46EAE"/>
    <w:rsid w:val="11F528ED"/>
    <w:rsid w:val="11FD4CD5"/>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0E117B"/>
    <w:rsid w:val="1C511068"/>
    <w:rsid w:val="1C7D1E5D"/>
    <w:rsid w:val="1C9D0478"/>
    <w:rsid w:val="1CA464D8"/>
    <w:rsid w:val="1CB03FE0"/>
    <w:rsid w:val="1CB20DCC"/>
    <w:rsid w:val="1CB304A3"/>
    <w:rsid w:val="1CCE26B8"/>
    <w:rsid w:val="1CD07137"/>
    <w:rsid w:val="1CE76D4F"/>
    <w:rsid w:val="1CF12CD2"/>
    <w:rsid w:val="1D3320C5"/>
    <w:rsid w:val="1D3772E3"/>
    <w:rsid w:val="1D3F5364"/>
    <w:rsid w:val="1D990F18"/>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432E03"/>
    <w:rsid w:val="20556493"/>
    <w:rsid w:val="20703AC9"/>
    <w:rsid w:val="20A774A8"/>
    <w:rsid w:val="20CE5700"/>
    <w:rsid w:val="20CE712B"/>
    <w:rsid w:val="20E701EC"/>
    <w:rsid w:val="21366A7E"/>
    <w:rsid w:val="216C51F8"/>
    <w:rsid w:val="21705735"/>
    <w:rsid w:val="218872DA"/>
    <w:rsid w:val="21A659B2"/>
    <w:rsid w:val="21EC1864"/>
    <w:rsid w:val="21F52495"/>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822706"/>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331DAD"/>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CC52D7"/>
    <w:rsid w:val="34E42564"/>
    <w:rsid w:val="34EA61B8"/>
    <w:rsid w:val="34F12F90"/>
    <w:rsid w:val="34F82570"/>
    <w:rsid w:val="3518676F"/>
    <w:rsid w:val="35201A23"/>
    <w:rsid w:val="352E500F"/>
    <w:rsid w:val="355434F9"/>
    <w:rsid w:val="35690D78"/>
    <w:rsid w:val="35727541"/>
    <w:rsid w:val="35727A6C"/>
    <w:rsid w:val="35843E04"/>
    <w:rsid w:val="35B540D6"/>
    <w:rsid w:val="35BE0BED"/>
    <w:rsid w:val="35C66E2C"/>
    <w:rsid w:val="35CA2312"/>
    <w:rsid w:val="35F76384"/>
    <w:rsid w:val="360F1920"/>
    <w:rsid w:val="361938E0"/>
    <w:rsid w:val="362F5E73"/>
    <w:rsid w:val="36413AA3"/>
    <w:rsid w:val="364C6C07"/>
    <w:rsid w:val="366A124C"/>
    <w:rsid w:val="366A4DA8"/>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BD57167"/>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5113D8"/>
    <w:rsid w:val="3E832EAB"/>
    <w:rsid w:val="3EBE76C5"/>
    <w:rsid w:val="3ECC22A5"/>
    <w:rsid w:val="3EDB2CE7"/>
    <w:rsid w:val="3F0324D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4D77D9"/>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4FA19ED"/>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76F663D"/>
    <w:rsid w:val="48221986"/>
    <w:rsid w:val="482E0AEB"/>
    <w:rsid w:val="483D1893"/>
    <w:rsid w:val="4840005F"/>
    <w:rsid w:val="48407E8B"/>
    <w:rsid w:val="48492B5E"/>
    <w:rsid w:val="485633DE"/>
    <w:rsid w:val="486A70F8"/>
    <w:rsid w:val="48941C0A"/>
    <w:rsid w:val="48D016B1"/>
    <w:rsid w:val="48EB621C"/>
    <w:rsid w:val="48EF63BC"/>
    <w:rsid w:val="48F03833"/>
    <w:rsid w:val="49143FE3"/>
    <w:rsid w:val="493A2D00"/>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B792C"/>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45BE4"/>
    <w:rsid w:val="511A7AB0"/>
    <w:rsid w:val="512E2388"/>
    <w:rsid w:val="516C77CE"/>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E67F6"/>
    <w:rsid w:val="557F5C64"/>
    <w:rsid w:val="55BD4A9D"/>
    <w:rsid w:val="55CE5FAF"/>
    <w:rsid w:val="55D65B5E"/>
    <w:rsid w:val="55FF50B5"/>
    <w:rsid w:val="56026953"/>
    <w:rsid w:val="561641AD"/>
    <w:rsid w:val="563E671E"/>
    <w:rsid w:val="5647080A"/>
    <w:rsid w:val="56695122"/>
    <w:rsid w:val="566B44F9"/>
    <w:rsid w:val="567C6706"/>
    <w:rsid w:val="568D4A8B"/>
    <w:rsid w:val="568E01E7"/>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CF36FF6"/>
    <w:rsid w:val="5D047455"/>
    <w:rsid w:val="5D656145"/>
    <w:rsid w:val="5D804893"/>
    <w:rsid w:val="5DA53F1B"/>
    <w:rsid w:val="5DA54794"/>
    <w:rsid w:val="5DC63FF9"/>
    <w:rsid w:val="5E96232F"/>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A15272"/>
    <w:rsid w:val="61C111BB"/>
    <w:rsid w:val="61D84352"/>
    <w:rsid w:val="61DA4AD9"/>
    <w:rsid w:val="61F335F4"/>
    <w:rsid w:val="62031A89"/>
    <w:rsid w:val="622F0AD0"/>
    <w:rsid w:val="623D3E1F"/>
    <w:rsid w:val="62626313"/>
    <w:rsid w:val="629D4803"/>
    <w:rsid w:val="62AE498D"/>
    <w:rsid w:val="62ED1A72"/>
    <w:rsid w:val="633F4D43"/>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5F75DA9"/>
    <w:rsid w:val="66576847"/>
    <w:rsid w:val="66672543"/>
    <w:rsid w:val="6683497C"/>
    <w:rsid w:val="669B2BD8"/>
    <w:rsid w:val="66B21CD0"/>
    <w:rsid w:val="66CD13E8"/>
    <w:rsid w:val="66D734E4"/>
    <w:rsid w:val="66E872A7"/>
    <w:rsid w:val="676E5CC7"/>
    <w:rsid w:val="67E14BAB"/>
    <w:rsid w:val="67EE0AE5"/>
    <w:rsid w:val="67F71E56"/>
    <w:rsid w:val="683A3D2B"/>
    <w:rsid w:val="684C44B3"/>
    <w:rsid w:val="68506E3A"/>
    <w:rsid w:val="686A0AB4"/>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ABE50E7"/>
    <w:rsid w:val="6AFC5C0F"/>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C12D11"/>
    <w:rsid w:val="6CFE27E3"/>
    <w:rsid w:val="6D274D94"/>
    <w:rsid w:val="6D6655C2"/>
    <w:rsid w:val="6D7B2E1B"/>
    <w:rsid w:val="6D8C026B"/>
    <w:rsid w:val="6D955447"/>
    <w:rsid w:val="6D9E0D2D"/>
    <w:rsid w:val="6D9E2EF6"/>
    <w:rsid w:val="6DA87988"/>
    <w:rsid w:val="6DAD3879"/>
    <w:rsid w:val="6DD01AB0"/>
    <w:rsid w:val="6DD16EDF"/>
    <w:rsid w:val="6DD857F0"/>
    <w:rsid w:val="6DE5298B"/>
    <w:rsid w:val="6DE94229"/>
    <w:rsid w:val="6DEB139F"/>
    <w:rsid w:val="6DF350A8"/>
    <w:rsid w:val="6E160D96"/>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4E1E86"/>
    <w:rsid w:val="7E5043EB"/>
    <w:rsid w:val="7E604231"/>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4460</Words>
  <Characters>4830</Characters>
  <Lines>1</Lines>
  <Paragraphs>1</Paragraphs>
  <TotalTime>9</TotalTime>
  <ScaleCrop>false</ScaleCrop>
  <LinksUpToDate>false</LinksUpToDate>
  <CharactersWithSpaces>5023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2025-09-16T14:21:49Z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84301ADF2A4D46D8B96C1B734FC5EAA5_13</vt:lpwstr>
  </property>
  <property fmtid="{D5CDD505-2E9C-101B-9397-08002B2CF9AE}" pid="4" name="KSOTemplateDocerSaveRecord">
    <vt:lpwstr>eyJoZGlkIjoiNGRiN2FjM2IwNjUxZWRiZTZhMTg1YTdmYzFhZWExNzgiLCJ1c2VySWQiOiI0MDU4NDYwODgifQ==</vt:lpwstr>
  </property>
</Properties>
</file>